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92C8" w14:textId="37A0A165" w:rsidR="00CA4D1C" w:rsidRPr="00083B74" w:rsidRDefault="00FA2B4B" w:rsidP="00083B74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drawing>
          <wp:inline distT="0" distB="0" distL="0" distR="0" wp14:anchorId="04352EAC" wp14:editId="5D4EEB2A">
            <wp:extent cx="1428750" cy="571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F0949" w14:textId="77777777" w:rsidR="00CA4D1C" w:rsidRPr="000C166D" w:rsidRDefault="00083B74" w:rsidP="00083B74">
      <w:pPr>
        <w:jc w:val="center"/>
        <w:rPr>
          <w:rFonts w:ascii="Arial" w:hAnsi="Arial" w:cs="Arial"/>
          <w:b/>
          <w:sz w:val="24"/>
          <w:szCs w:val="24"/>
        </w:rPr>
      </w:pPr>
      <w:r w:rsidRPr="000C166D">
        <w:rPr>
          <w:rFonts w:ascii="Arial" w:hAnsi="Arial" w:cs="Arial"/>
          <w:b/>
          <w:sz w:val="24"/>
          <w:szCs w:val="24"/>
        </w:rPr>
        <w:t>Job Description</w:t>
      </w:r>
    </w:p>
    <w:p w14:paraId="6C1F4A56" w14:textId="77777777" w:rsidR="00AF24E6" w:rsidRPr="00083B74" w:rsidRDefault="00AF24E6" w:rsidP="00083B74">
      <w:pPr>
        <w:rPr>
          <w:rFonts w:ascii="Arial" w:hAnsi="Arial" w:cs="Arial"/>
          <w:b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5531"/>
      </w:tblGrid>
      <w:tr w:rsidR="00C84497" w:rsidRPr="00083B74" w14:paraId="4C6808EF" w14:textId="77777777" w:rsidTr="45783174">
        <w:tc>
          <w:tcPr>
            <w:tcW w:w="2943" w:type="dxa"/>
            <w:shd w:val="clear" w:color="auto" w:fill="DAEEF3"/>
          </w:tcPr>
          <w:p w14:paraId="1FBA60FA" w14:textId="77777777" w:rsidR="000C166D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title:</w:t>
            </w:r>
          </w:p>
          <w:p w14:paraId="4C272412" w14:textId="77777777" w:rsidR="000C166D" w:rsidRPr="00083B74" w:rsidRDefault="000C166D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5777" w:type="dxa"/>
          </w:tcPr>
          <w:p w14:paraId="7059743C" w14:textId="77777777" w:rsidR="00AF24E6" w:rsidRDefault="00C84497" w:rsidP="00083B74">
            <w:pPr>
              <w:rPr>
                <w:rFonts w:ascii="Arial" w:hAnsi="Arial" w:cs="Arial"/>
                <w:bCs/>
                <w:sz w:val="23"/>
              </w:rPr>
            </w:pPr>
            <w:r w:rsidRPr="00AF24E6">
              <w:rPr>
                <w:rFonts w:ascii="Arial" w:hAnsi="Arial" w:cs="Arial"/>
                <w:bCs/>
                <w:sz w:val="23"/>
              </w:rPr>
              <w:t xml:space="preserve">Research Funding Transformation </w:t>
            </w:r>
            <w:r w:rsidR="002260AC" w:rsidRPr="00AF24E6">
              <w:rPr>
                <w:rFonts w:ascii="Arial" w:hAnsi="Arial" w:cs="Arial"/>
                <w:bCs/>
                <w:sz w:val="23"/>
              </w:rPr>
              <w:t>Lead</w:t>
            </w:r>
          </w:p>
          <w:p w14:paraId="149FAACC" w14:textId="1E95B550" w:rsidR="00CA4D1C" w:rsidRPr="00AF24E6" w:rsidRDefault="00FA2B4B" w:rsidP="00083B74">
            <w:pPr>
              <w:rPr>
                <w:rFonts w:ascii="Arial" w:hAnsi="Arial" w:cs="Arial"/>
                <w:bCs/>
                <w:sz w:val="23"/>
              </w:rPr>
            </w:pPr>
            <w:r w:rsidRPr="00AF24E6">
              <w:rPr>
                <w:rFonts w:ascii="Arial" w:hAnsi="Arial" w:cs="Arial"/>
                <w:bCs/>
                <w:sz w:val="23"/>
              </w:rPr>
              <w:t>(Fixed Term 12 months)</w:t>
            </w:r>
          </w:p>
        </w:tc>
      </w:tr>
      <w:tr w:rsidR="00C84497" w:rsidRPr="00083B74" w14:paraId="215EFEF4" w14:textId="77777777" w:rsidTr="45783174">
        <w:tc>
          <w:tcPr>
            <w:tcW w:w="2943" w:type="dxa"/>
            <w:shd w:val="clear" w:color="auto" w:fill="DAEEF3"/>
          </w:tcPr>
          <w:p w14:paraId="78F9B1AD" w14:textId="7911A3CC" w:rsidR="000C166D" w:rsidRPr="00083B74" w:rsidRDefault="00CA4D1C" w:rsidP="00AF24E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Department/School:</w:t>
            </w:r>
          </w:p>
        </w:tc>
        <w:tc>
          <w:tcPr>
            <w:tcW w:w="5777" w:type="dxa"/>
          </w:tcPr>
          <w:p w14:paraId="1E22352F" w14:textId="5C2791E6" w:rsidR="00CA4D1C" w:rsidRPr="00AF24E6" w:rsidRDefault="00C84497" w:rsidP="00083B74">
            <w:pPr>
              <w:rPr>
                <w:rFonts w:ascii="Arial" w:hAnsi="Arial" w:cs="Arial"/>
                <w:bCs/>
                <w:sz w:val="23"/>
              </w:rPr>
            </w:pPr>
            <w:r w:rsidRPr="00AF24E6">
              <w:rPr>
                <w:rFonts w:ascii="Arial" w:hAnsi="Arial" w:cs="Arial"/>
                <w:bCs/>
                <w:sz w:val="23"/>
              </w:rPr>
              <w:t>Research &amp; Impact Services (RIS)</w:t>
            </w:r>
          </w:p>
        </w:tc>
      </w:tr>
      <w:tr w:rsidR="00C84497" w:rsidRPr="00083B74" w14:paraId="52CDF0DC" w14:textId="77777777" w:rsidTr="45783174">
        <w:tc>
          <w:tcPr>
            <w:tcW w:w="2943" w:type="dxa"/>
            <w:shd w:val="clear" w:color="auto" w:fill="DAEEF3"/>
          </w:tcPr>
          <w:p w14:paraId="2515FC75" w14:textId="34C5C69E" w:rsidR="000C166D" w:rsidRPr="00083B74" w:rsidRDefault="00CA4D1C" w:rsidP="00AF24E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Grade:</w:t>
            </w:r>
          </w:p>
        </w:tc>
        <w:tc>
          <w:tcPr>
            <w:tcW w:w="5777" w:type="dxa"/>
          </w:tcPr>
          <w:p w14:paraId="5782DFBB" w14:textId="0909AF95" w:rsidR="00CA4D1C" w:rsidRPr="00AF24E6" w:rsidRDefault="00C84497" w:rsidP="00083B74">
            <w:pPr>
              <w:rPr>
                <w:rFonts w:ascii="Arial" w:hAnsi="Arial" w:cs="Arial"/>
                <w:bCs/>
                <w:sz w:val="23"/>
              </w:rPr>
            </w:pPr>
            <w:r w:rsidRPr="00AF24E6">
              <w:rPr>
                <w:rFonts w:ascii="Arial" w:hAnsi="Arial" w:cs="Arial"/>
                <w:bCs/>
                <w:sz w:val="23"/>
              </w:rPr>
              <w:t>8</w:t>
            </w:r>
          </w:p>
        </w:tc>
      </w:tr>
      <w:tr w:rsidR="00C84497" w:rsidRPr="00083B74" w14:paraId="3A8645B8" w14:textId="77777777" w:rsidTr="45783174">
        <w:tc>
          <w:tcPr>
            <w:tcW w:w="2943" w:type="dxa"/>
            <w:shd w:val="clear" w:color="auto" w:fill="DAEEF3"/>
          </w:tcPr>
          <w:p w14:paraId="65578BC7" w14:textId="22615878" w:rsidR="000C166D" w:rsidRPr="00083B74" w:rsidRDefault="00CA4D1C" w:rsidP="00AF24E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Location:</w:t>
            </w:r>
          </w:p>
        </w:tc>
        <w:tc>
          <w:tcPr>
            <w:tcW w:w="5777" w:type="dxa"/>
          </w:tcPr>
          <w:p w14:paraId="6A9A3F96" w14:textId="074A8714" w:rsidR="00CA4D1C" w:rsidRPr="00AF24E6" w:rsidRDefault="000C166D" w:rsidP="45783174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AF24E6">
              <w:rPr>
                <w:rFonts w:ascii="Arial" w:hAnsi="Arial" w:cs="Arial"/>
                <w:bCs/>
                <w:sz w:val="23"/>
                <w:szCs w:val="23"/>
              </w:rPr>
              <w:t>University of Bath premises</w:t>
            </w:r>
            <w:r w:rsidR="26B56992" w:rsidRPr="00AF24E6">
              <w:rPr>
                <w:rFonts w:ascii="Arial" w:hAnsi="Arial" w:cs="Arial"/>
                <w:bCs/>
                <w:sz w:val="23"/>
                <w:szCs w:val="23"/>
              </w:rPr>
              <w:t>/hybrid</w:t>
            </w:r>
          </w:p>
        </w:tc>
      </w:tr>
    </w:tbl>
    <w:p w14:paraId="4C2D70B8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CA4D1C" w:rsidRPr="00083B74" w14:paraId="6DEC34F0" w14:textId="77777777" w:rsidTr="005C6268">
        <w:tc>
          <w:tcPr>
            <w:tcW w:w="8720" w:type="dxa"/>
            <w:shd w:val="clear" w:color="auto" w:fill="DAEEF3"/>
          </w:tcPr>
          <w:p w14:paraId="6651DF30" w14:textId="0B8BA87F" w:rsidR="007577E7" w:rsidRPr="00083B74" w:rsidRDefault="00CA4D1C" w:rsidP="00AF24E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purpose</w:t>
            </w:r>
          </w:p>
        </w:tc>
      </w:tr>
      <w:tr w:rsidR="00CA4D1C" w:rsidRPr="00083B74" w14:paraId="24E975D9" w14:textId="77777777" w:rsidTr="00557E4E">
        <w:tc>
          <w:tcPr>
            <w:tcW w:w="8720" w:type="dxa"/>
          </w:tcPr>
          <w:p w14:paraId="307ADFEE" w14:textId="77777777" w:rsidR="00AF24E6" w:rsidRDefault="00AF24E6" w:rsidP="00083B74">
            <w:pPr>
              <w:rPr>
                <w:rFonts w:ascii="Arial" w:hAnsi="Arial" w:cs="Arial"/>
                <w:bCs/>
                <w:sz w:val="23"/>
              </w:rPr>
            </w:pPr>
          </w:p>
          <w:p w14:paraId="535D13F1" w14:textId="07CBCCC2" w:rsidR="00CA4D1C" w:rsidRDefault="00C84497" w:rsidP="00083B74">
            <w:pPr>
              <w:rPr>
                <w:rFonts w:ascii="Arial" w:hAnsi="Arial" w:cs="Arial"/>
                <w:bCs/>
                <w:sz w:val="23"/>
              </w:rPr>
            </w:pPr>
            <w:r w:rsidRPr="00C84497">
              <w:rPr>
                <w:rFonts w:ascii="Arial" w:hAnsi="Arial" w:cs="Arial"/>
                <w:bCs/>
                <w:sz w:val="23"/>
              </w:rPr>
              <w:t xml:space="preserve">The </w:t>
            </w:r>
            <w:r>
              <w:rPr>
                <w:rFonts w:ascii="Arial" w:hAnsi="Arial" w:cs="Arial"/>
                <w:bCs/>
                <w:sz w:val="23"/>
              </w:rPr>
              <w:t xml:space="preserve">Research Funding </w:t>
            </w:r>
            <w:r w:rsidRPr="00C84497">
              <w:rPr>
                <w:rFonts w:ascii="Arial" w:hAnsi="Arial" w:cs="Arial"/>
                <w:bCs/>
                <w:sz w:val="23"/>
              </w:rPr>
              <w:t xml:space="preserve">Transformation </w:t>
            </w:r>
            <w:r w:rsidR="00F066CF">
              <w:rPr>
                <w:rFonts w:ascii="Arial" w:hAnsi="Arial" w:cs="Arial"/>
                <w:bCs/>
                <w:sz w:val="23"/>
              </w:rPr>
              <w:t>Lead</w:t>
            </w:r>
            <w:r w:rsidRPr="00C84497">
              <w:rPr>
                <w:rFonts w:ascii="Arial" w:hAnsi="Arial" w:cs="Arial"/>
                <w:bCs/>
                <w:sz w:val="23"/>
              </w:rPr>
              <w:t xml:space="preserve"> </w:t>
            </w:r>
            <w:r>
              <w:rPr>
                <w:rFonts w:ascii="Arial" w:hAnsi="Arial" w:cs="Arial"/>
                <w:bCs/>
                <w:sz w:val="23"/>
              </w:rPr>
              <w:t xml:space="preserve">will provide strategic leadership and operational direction for a one-year initiative to modernise </w:t>
            </w:r>
            <w:r w:rsidR="004A027C">
              <w:rPr>
                <w:rFonts w:ascii="Arial" w:hAnsi="Arial" w:cs="Arial"/>
                <w:bCs/>
                <w:sz w:val="23"/>
              </w:rPr>
              <w:t xml:space="preserve">the University’s </w:t>
            </w:r>
            <w:r>
              <w:rPr>
                <w:rFonts w:ascii="Arial" w:hAnsi="Arial" w:cs="Arial"/>
                <w:bCs/>
                <w:sz w:val="23"/>
              </w:rPr>
              <w:t xml:space="preserve">Research Funding </w:t>
            </w:r>
            <w:r w:rsidR="004A027C">
              <w:rPr>
                <w:rFonts w:ascii="Arial" w:hAnsi="Arial" w:cs="Arial"/>
                <w:bCs/>
                <w:sz w:val="23"/>
              </w:rPr>
              <w:t>Post-Award service</w:t>
            </w:r>
            <w:r w:rsidR="00D54A24">
              <w:rPr>
                <w:rFonts w:ascii="Arial" w:hAnsi="Arial" w:cs="Arial"/>
                <w:bCs/>
                <w:sz w:val="23"/>
              </w:rPr>
              <w:t>,</w:t>
            </w:r>
            <w:r>
              <w:rPr>
                <w:rFonts w:ascii="Arial" w:hAnsi="Arial" w:cs="Arial"/>
                <w:bCs/>
                <w:sz w:val="23"/>
              </w:rPr>
              <w:t xml:space="preserve"> as a new </w:t>
            </w:r>
            <w:r w:rsidR="00B67BE6">
              <w:rPr>
                <w:rFonts w:ascii="Arial" w:hAnsi="Arial" w:cs="Arial"/>
                <w:bCs/>
                <w:sz w:val="23"/>
              </w:rPr>
              <w:t>s</w:t>
            </w:r>
            <w:r>
              <w:rPr>
                <w:rFonts w:ascii="Arial" w:hAnsi="Arial" w:cs="Arial"/>
                <w:bCs/>
                <w:sz w:val="23"/>
              </w:rPr>
              <w:t>ystem (Worktribe) is implemented at the University of Bath.</w:t>
            </w:r>
          </w:p>
          <w:p w14:paraId="159EDD78" w14:textId="77777777" w:rsidR="00FA2B4B" w:rsidRDefault="00FA2B4B" w:rsidP="00083B74">
            <w:pPr>
              <w:rPr>
                <w:rFonts w:ascii="Arial" w:hAnsi="Arial" w:cs="Arial"/>
                <w:bCs/>
                <w:sz w:val="23"/>
              </w:rPr>
            </w:pPr>
          </w:p>
          <w:p w14:paraId="55983FFF" w14:textId="0B37709F" w:rsidR="00FA2B4B" w:rsidRDefault="00FA2B4B" w:rsidP="00083B74">
            <w:pPr>
              <w:rPr>
                <w:rFonts w:ascii="Arial" w:hAnsi="Arial" w:cs="Arial"/>
                <w:bCs/>
                <w:sz w:val="23"/>
              </w:rPr>
            </w:pPr>
            <w:r w:rsidRPr="00FA2B4B">
              <w:rPr>
                <w:rFonts w:ascii="Arial" w:hAnsi="Arial" w:cs="Arial"/>
                <w:bCs/>
                <w:sz w:val="23"/>
              </w:rPr>
              <w:t xml:space="preserve">The role exists to ensure that this transition is delivered effectively, fairly, and at pace, and that the </w:t>
            </w:r>
            <w:r w:rsidR="004A027C">
              <w:rPr>
                <w:rFonts w:ascii="Arial" w:hAnsi="Arial" w:cs="Arial"/>
                <w:bCs/>
                <w:sz w:val="23"/>
              </w:rPr>
              <w:t>Post-Award</w:t>
            </w:r>
            <w:r>
              <w:rPr>
                <w:rFonts w:ascii="Arial" w:hAnsi="Arial" w:cs="Arial"/>
                <w:bCs/>
                <w:sz w:val="23"/>
              </w:rPr>
              <w:t xml:space="preserve"> </w:t>
            </w:r>
            <w:r w:rsidRPr="00FA2B4B">
              <w:rPr>
                <w:rFonts w:ascii="Arial" w:hAnsi="Arial" w:cs="Arial"/>
                <w:bCs/>
                <w:sz w:val="23"/>
              </w:rPr>
              <w:t xml:space="preserve">function is positioned to operate confidently </w:t>
            </w:r>
            <w:r w:rsidR="00187B43">
              <w:rPr>
                <w:rFonts w:ascii="Arial" w:hAnsi="Arial" w:cs="Arial"/>
                <w:bCs/>
                <w:sz w:val="23"/>
              </w:rPr>
              <w:t xml:space="preserve">and effectively </w:t>
            </w:r>
            <w:r w:rsidRPr="00FA2B4B">
              <w:rPr>
                <w:rFonts w:ascii="Arial" w:hAnsi="Arial" w:cs="Arial"/>
                <w:bCs/>
                <w:sz w:val="23"/>
              </w:rPr>
              <w:t>beyond the fixed</w:t>
            </w:r>
            <w:r w:rsidRPr="00FA2B4B">
              <w:rPr>
                <w:rFonts w:ascii="Cambria Math" w:hAnsi="Cambria Math" w:cs="Cambria Math"/>
                <w:bCs/>
                <w:sz w:val="23"/>
              </w:rPr>
              <w:t>‑</w:t>
            </w:r>
            <w:r w:rsidRPr="00FA2B4B">
              <w:rPr>
                <w:rFonts w:ascii="Arial" w:hAnsi="Arial" w:cs="Arial"/>
                <w:bCs/>
                <w:sz w:val="23"/>
              </w:rPr>
              <w:t>term period</w:t>
            </w:r>
            <w:r w:rsidR="000B565B">
              <w:rPr>
                <w:rFonts w:ascii="Arial" w:hAnsi="Arial" w:cs="Arial"/>
                <w:bCs/>
                <w:sz w:val="23"/>
              </w:rPr>
              <w:t xml:space="preserve"> of this role</w:t>
            </w:r>
            <w:r w:rsidRPr="00FA2B4B">
              <w:rPr>
                <w:rFonts w:ascii="Arial" w:hAnsi="Arial" w:cs="Arial"/>
                <w:bCs/>
                <w:sz w:val="23"/>
              </w:rPr>
              <w:t>.</w:t>
            </w:r>
            <w:r w:rsidR="00B86BB1">
              <w:t xml:space="preserve"> </w:t>
            </w:r>
            <w:r w:rsidR="00B86BB1" w:rsidRPr="00B86BB1">
              <w:rPr>
                <w:rFonts w:ascii="Arial" w:hAnsi="Arial" w:cs="Arial"/>
                <w:bCs/>
                <w:sz w:val="23"/>
              </w:rPr>
              <w:t>This includes reducing institutional exposure to financial, regulatory and audit risk, and ensuring funder and regulatory compliance is consistently embedded across the University’s research lifecycle.</w:t>
            </w:r>
          </w:p>
          <w:p w14:paraId="174BC3C8" w14:textId="77777777" w:rsidR="00C84497" w:rsidRDefault="00C84497" w:rsidP="00083B74">
            <w:pPr>
              <w:rPr>
                <w:rFonts w:ascii="Arial" w:hAnsi="Arial" w:cs="Arial"/>
                <w:bCs/>
                <w:sz w:val="23"/>
              </w:rPr>
            </w:pPr>
          </w:p>
          <w:p w14:paraId="0432E68C" w14:textId="77777777" w:rsidR="00C84497" w:rsidRDefault="00C84497" w:rsidP="00083B74">
            <w:pPr>
              <w:rPr>
                <w:rFonts w:ascii="Arial" w:hAnsi="Arial" w:cs="Arial"/>
                <w:bCs/>
                <w:sz w:val="23"/>
              </w:rPr>
            </w:pPr>
            <w:r>
              <w:rPr>
                <w:rFonts w:ascii="Arial" w:hAnsi="Arial" w:cs="Arial"/>
                <w:bCs/>
                <w:sz w:val="23"/>
              </w:rPr>
              <w:t>The role has overall responsibility for:</w:t>
            </w:r>
          </w:p>
          <w:p w14:paraId="49216889" w14:textId="3246F4FD" w:rsidR="00A95CFC" w:rsidRDefault="009A3E6B" w:rsidP="00C84497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3"/>
              </w:rPr>
            </w:pPr>
            <w:r>
              <w:rPr>
                <w:rFonts w:ascii="Arial" w:hAnsi="Arial" w:cs="Arial"/>
                <w:bCs/>
                <w:sz w:val="23"/>
              </w:rPr>
              <w:t xml:space="preserve">Assessing </w:t>
            </w:r>
            <w:r w:rsidR="00A95CFC">
              <w:rPr>
                <w:rFonts w:ascii="Arial" w:hAnsi="Arial" w:cs="Arial"/>
                <w:bCs/>
                <w:sz w:val="23"/>
              </w:rPr>
              <w:t>and modernising current practice</w:t>
            </w:r>
            <w:r w:rsidR="003708F6">
              <w:rPr>
                <w:rFonts w:ascii="Arial" w:hAnsi="Arial" w:cs="Arial"/>
                <w:bCs/>
                <w:sz w:val="23"/>
              </w:rPr>
              <w:t xml:space="preserve"> across the team</w:t>
            </w:r>
          </w:p>
          <w:p w14:paraId="26957C3B" w14:textId="1FB4F843" w:rsidR="00EE5DC0" w:rsidRDefault="00EE5DC0" w:rsidP="00C84497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3"/>
              </w:rPr>
            </w:pPr>
            <w:r>
              <w:rPr>
                <w:rFonts w:ascii="Arial" w:hAnsi="Arial" w:cs="Arial"/>
                <w:bCs/>
                <w:sz w:val="23"/>
              </w:rPr>
              <w:t xml:space="preserve">Reviewing the relationship between </w:t>
            </w:r>
            <w:r w:rsidR="00A12AC3">
              <w:rPr>
                <w:rFonts w:ascii="Arial" w:hAnsi="Arial" w:cs="Arial"/>
                <w:bCs/>
                <w:sz w:val="23"/>
              </w:rPr>
              <w:t xml:space="preserve">the </w:t>
            </w:r>
            <w:r>
              <w:rPr>
                <w:rFonts w:ascii="Arial" w:hAnsi="Arial" w:cs="Arial"/>
                <w:bCs/>
                <w:sz w:val="23"/>
              </w:rPr>
              <w:t>team and other research finance-related functions across the University, to ensure efficient and joined-up practices are in place throughout the research funding lifecycle</w:t>
            </w:r>
          </w:p>
          <w:p w14:paraId="77CB7200" w14:textId="5EDEE343" w:rsidR="00A95CFC" w:rsidRDefault="00A95CFC" w:rsidP="00A95CFC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3"/>
              </w:rPr>
            </w:pPr>
            <w:r>
              <w:rPr>
                <w:rFonts w:ascii="Arial" w:hAnsi="Arial" w:cs="Arial"/>
                <w:bCs/>
                <w:sz w:val="23"/>
              </w:rPr>
              <w:t xml:space="preserve">Establishing clear standards, </w:t>
            </w:r>
            <w:r w:rsidR="003708F6">
              <w:rPr>
                <w:rFonts w:ascii="Arial" w:hAnsi="Arial" w:cs="Arial"/>
                <w:bCs/>
                <w:sz w:val="23"/>
              </w:rPr>
              <w:t xml:space="preserve">processes, </w:t>
            </w:r>
            <w:r>
              <w:rPr>
                <w:rFonts w:ascii="Arial" w:hAnsi="Arial" w:cs="Arial"/>
                <w:bCs/>
                <w:sz w:val="23"/>
              </w:rPr>
              <w:t>controls and governance</w:t>
            </w:r>
          </w:p>
          <w:p w14:paraId="0CB481B2" w14:textId="22F2F8C4" w:rsidR="00C84497" w:rsidRDefault="00A95CFC" w:rsidP="00C84497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3"/>
              </w:rPr>
            </w:pPr>
            <w:r>
              <w:rPr>
                <w:rFonts w:ascii="Arial" w:hAnsi="Arial" w:cs="Arial"/>
                <w:bCs/>
                <w:sz w:val="23"/>
              </w:rPr>
              <w:t>Ensuring</w:t>
            </w:r>
            <w:r w:rsidR="00C84497">
              <w:rPr>
                <w:rFonts w:ascii="Arial" w:hAnsi="Arial" w:cs="Arial"/>
                <w:bCs/>
                <w:sz w:val="23"/>
              </w:rPr>
              <w:t xml:space="preserve"> </w:t>
            </w:r>
            <w:r>
              <w:rPr>
                <w:rFonts w:ascii="Arial" w:hAnsi="Arial" w:cs="Arial"/>
                <w:bCs/>
                <w:sz w:val="23"/>
              </w:rPr>
              <w:t xml:space="preserve">any </w:t>
            </w:r>
            <w:r w:rsidR="00600E35">
              <w:rPr>
                <w:rFonts w:ascii="Arial" w:hAnsi="Arial" w:cs="Arial"/>
                <w:bCs/>
                <w:sz w:val="23"/>
              </w:rPr>
              <w:t xml:space="preserve">operational </w:t>
            </w:r>
            <w:r>
              <w:rPr>
                <w:rFonts w:ascii="Arial" w:hAnsi="Arial" w:cs="Arial"/>
                <w:bCs/>
                <w:sz w:val="23"/>
              </w:rPr>
              <w:t xml:space="preserve">changes that are needed to maximise </w:t>
            </w:r>
            <w:r w:rsidR="00C84497">
              <w:rPr>
                <w:rFonts w:ascii="Arial" w:hAnsi="Arial" w:cs="Arial"/>
                <w:bCs/>
                <w:sz w:val="23"/>
              </w:rPr>
              <w:t>effective use of Worktribe</w:t>
            </w:r>
            <w:r>
              <w:rPr>
                <w:rFonts w:ascii="Arial" w:hAnsi="Arial" w:cs="Arial"/>
                <w:bCs/>
                <w:sz w:val="23"/>
              </w:rPr>
              <w:t xml:space="preserve"> </w:t>
            </w:r>
            <w:r w:rsidR="005F0EA8">
              <w:rPr>
                <w:rFonts w:ascii="Arial" w:hAnsi="Arial" w:cs="Arial"/>
                <w:bCs/>
                <w:sz w:val="23"/>
              </w:rPr>
              <w:t>are</w:t>
            </w:r>
            <w:r>
              <w:rPr>
                <w:rFonts w:ascii="Arial" w:hAnsi="Arial" w:cs="Arial"/>
                <w:bCs/>
                <w:sz w:val="23"/>
              </w:rPr>
              <w:t xml:space="preserve"> implemented ahead of ‘go-live’</w:t>
            </w:r>
          </w:p>
          <w:p w14:paraId="70D3056A" w14:textId="77777777" w:rsidR="00C84497" w:rsidRDefault="00C84497" w:rsidP="00C84497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3"/>
              </w:rPr>
            </w:pPr>
            <w:r>
              <w:rPr>
                <w:rFonts w:ascii="Arial" w:hAnsi="Arial" w:cs="Arial"/>
                <w:bCs/>
                <w:sz w:val="23"/>
              </w:rPr>
              <w:t xml:space="preserve">Building capability and resilience within the </w:t>
            </w:r>
            <w:r w:rsidR="00FA2B4B">
              <w:rPr>
                <w:rFonts w:ascii="Arial" w:hAnsi="Arial" w:cs="Arial"/>
                <w:bCs/>
                <w:sz w:val="23"/>
              </w:rPr>
              <w:t>team</w:t>
            </w:r>
          </w:p>
          <w:p w14:paraId="05B3689F" w14:textId="40C74EA7" w:rsidR="00F10B90" w:rsidRPr="00F10B90" w:rsidRDefault="00FA2B4B" w:rsidP="00F10B90">
            <w:pPr>
              <w:rPr>
                <w:rFonts w:ascii="Arial" w:hAnsi="Arial" w:cs="Arial"/>
                <w:bCs/>
                <w:sz w:val="23"/>
              </w:rPr>
            </w:pPr>
            <w:r>
              <w:rPr>
                <w:rFonts w:ascii="Arial" w:hAnsi="Arial" w:cs="Arial"/>
                <w:bCs/>
                <w:sz w:val="23"/>
              </w:rPr>
              <w:br/>
            </w:r>
            <w:r w:rsidR="00F10B90" w:rsidRPr="00F10B90">
              <w:rPr>
                <w:rFonts w:ascii="Arial" w:hAnsi="Arial" w:cs="Arial"/>
                <w:bCs/>
                <w:sz w:val="23"/>
              </w:rPr>
              <w:t>The postholder will be accountable for developing and delivering a transformation roadmap, ensuring that changes are embedded into institutional practice and recommended operating models are robust, compliant, and sustainable</w:t>
            </w:r>
            <w:r w:rsidR="00A21D2F">
              <w:rPr>
                <w:rFonts w:ascii="Arial" w:hAnsi="Arial" w:cs="Arial"/>
                <w:bCs/>
                <w:sz w:val="23"/>
              </w:rPr>
              <w:t xml:space="preserve">. </w:t>
            </w:r>
            <w:r w:rsidR="00A21D2F" w:rsidRPr="00A21D2F">
              <w:rPr>
                <w:rFonts w:ascii="Arial" w:hAnsi="Arial" w:cs="Arial"/>
                <w:bCs/>
                <w:sz w:val="23"/>
              </w:rPr>
              <w:t>The</w:t>
            </w:r>
            <w:r w:rsidR="00A21D2F">
              <w:rPr>
                <w:rFonts w:ascii="Arial" w:hAnsi="Arial" w:cs="Arial"/>
                <w:bCs/>
                <w:sz w:val="23"/>
              </w:rPr>
              <w:t>y</w:t>
            </w:r>
            <w:r w:rsidR="00A21D2F" w:rsidRPr="00A21D2F">
              <w:rPr>
                <w:rFonts w:ascii="Arial" w:hAnsi="Arial" w:cs="Arial"/>
                <w:bCs/>
                <w:sz w:val="23"/>
              </w:rPr>
              <w:t xml:space="preserve"> will have delegated authority to define and implement standard processes and controls for </w:t>
            </w:r>
            <w:r w:rsidR="00A12AC3">
              <w:rPr>
                <w:rFonts w:ascii="Arial" w:hAnsi="Arial" w:cs="Arial"/>
                <w:bCs/>
                <w:sz w:val="23"/>
              </w:rPr>
              <w:t>Post-Award</w:t>
            </w:r>
            <w:r w:rsidR="00A21D2F" w:rsidRPr="00A21D2F">
              <w:rPr>
                <w:rFonts w:ascii="Arial" w:hAnsi="Arial" w:cs="Arial"/>
                <w:bCs/>
                <w:sz w:val="23"/>
              </w:rPr>
              <w:t xml:space="preserve"> operations, escalating only where changes have significant policy or resource implications</w:t>
            </w:r>
            <w:r w:rsidR="00A21D2F">
              <w:rPr>
                <w:rFonts w:ascii="Arial" w:hAnsi="Arial" w:cs="Arial"/>
                <w:bCs/>
                <w:sz w:val="23"/>
              </w:rPr>
              <w:t>.</w:t>
            </w:r>
          </w:p>
          <w:p w14:paraId="2686D8B8" w14:textId="77777777" w:rsidR="00FA2B4B" w:rsidRDefault="00FA2B4B" w:rsidP="00FA2B4B">
            <w:pPr>
              <w:rPr>
                <w:rFonts w:ascii="Arial" w:hAnsi="Arial" w:cs="Arial"/>
                <w:bCs/>
                <w:sz w:val="23"/>
              </w:rPr>
            </w:pPr>
          </w:p>
          <w:p w14:paraId="5456615A" w14:textId="36196A80" w:rsidR="00FA2B4B" w:rsidRDefault="00FA2B4B" w:rsidP="00FA2B4B">
            <w:pPr>
              <w:rPr>
                <w:rFonts w:ascii="Arial" w:hAnsi="Arial" w:cs="Arial"/>
                <w:bCs/>
                <w:sz w:val="23"/>
              </w:rPr>
            </w:pPr>
            <w:r>
              <w:rPr>
                <w:rFonts w:ascii="Arial" w:hAnsi="Arial" w:cs="Arial"/>
                <w:bCs/>
                <w:sz w:val="23"/>
              </w:rPr>
              <w:t xml:space="preserve">This is a time-limited transformation role created to stabilise the function, mitigate organisational risk and support long-term operating models. </w:t>
            </w:r>
            <w:r w:rsidR="00600E35">
              <w:rPr>
                <w:rFonts w:ascii="Arial" w:hAnsi="Arial" w:cs="Arial"/>
                <w:bCs/>
                <w:sz w:val="23"/>
              </w:rPr>
              <w:t>A</w:t>
            </w:r>
            <w:r>
              <w:rPr>
                <w:rFonts w:ascii="Arial" w:hAnsi="Arial" w:cs="Arial"/>
                <w:bCs/>
                <w:sz w:val="23"/>
              </w:rPr>
              <w:t xml:space="preserve"> strong, demonstrable understanding of Research Funding (from either an HEI or </w:t>
            </w:r>
            <w:r w:rsidR="004D54D3">
              <w:rPr>
                <w:rFonts w:ascii="Arial" w:hAnsi="Arial" w:cs="Arial"/>
                <w:bCs/>
                <w:sz w:val="23"/>
              </w:rPr>
              <w:t>f</w:t>
            </w:r>
            <w:r>
              <w:rPr>
                <w:rFonts w:ascii="Arial" w:hAnsi="Arial" w:cs="Arial"/>
                <w:bCs/>
                <w:sz w:val="23"/>
              </w:rPr>
              <w:t>under perspective) will be essential to ensure the postholder can be a credible source of authority on the subject.</w:t>
            </w:r>
          </w:p>
          <w:p w14:paraId="254D635C" w14:textId="3BE8A7A0" w:rsidR="00FA2B4B" w:rsidRPr="00C84497" w:rsidRDefault="00FA2B4B" w:rsidP="00FA2B4B">
            <w:pPr>
              <w:rPr>
                <w:rFonts w:ascii="Arial" w:hAnsi="Arial" w:cs="Arial"/>
                <w:bCs/>
                <w:sz w:val="23"/>
              </w:rPr>
            </w:pPr>
          </w:p>
        </w:tc>
      </w:tr>
    </w:tbl>
    <w:p w14:paraId="2B5ACCDE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CA4D1C" w:rsidRPr="00083B74" w14:paraId="5CA35710" w14:textId="77777777" w:rsidTr="005C6268">
        <w:tc>
          <w:tcPr>
            <w:tcW w:w="8522" w:type="dxa"/>
            <w:shd w:val="clear" w:color="auto" w:fill="DAEEF3"/>
          </w:tcPr>
          <w:p w14:paraId="159A545E" w14:textId="74ED82CD" w:rsidR="007577E7" w:rsidRPr="00083B74" w:rsidRDefault="00CA4D1C" w:rsidP="00AF24E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Source and nature of management provided </w:t>
            </w:r>
          </w:p>
        </w:tc>
      </w:tr>
      <w:tr w:rsidR="00CA4D1C" w:rsidRPr="00083B74" w14:paraId="3D0C1A5B" w14:textId="77777777" w:rsidTr="00083B74">
        <w:tc>
          <w:tcPr>
            <w:tcW w:w="8522" w:type="dxa"/>
          </w:tcPr>
          <w:p w14:paraId="014FF482" w14:textId="77777777" w:rsidR="00CA4D1C" w:rsidRPr="00083B74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3AAE14C5" w14:textId="77777777" w:rsidR="00CA4D1C" w:rsidRDefault="00FA2B4B" w:rsidP="00FA2B4B">
            <w:pPr>
              <w:rPr>
                <w:rFonts w:ascii="Arial" w:hAnsi="Arial" w:cs="Arial"/>
                <w:iCs/>
                <w:sz w:val="23"/>
              </w:rPr>
            </w:pPr>
            <w:r w:rsidRPr="00762D3C">
              <w:rPr>
                <w:rFonts w:ascii="Arial" w:hAnsi="Arial" w:cs="Arial"/>
                <w:iCs/>
                <w:sz w:val="23"/>
              </w:rPr>
              <w:t>The post holder will be line managed by the Head of Research Funding</w:t>
            </w:r>
            <w:r>
              <w:rPr>
                <w:rFonts w:ascii="Arial" w:hAnsi="Arial" w:cs="Arial"/>
                <w:iCs/>
                <w:sz w:val="23"/>
              </w:rPr>
              <w:t>.</w:t>
            </w:r>
          </w:p>
          <w:p w14:paraId="54723946" w14:textId="49760352" w:rsidR="00FA2B4B" w:rsidRPr="00083B74" w:rsidRDefault="00FA2B4B" w:rsidP="00FA2B4B">
            <w:pPr>
              <w:rPr>
                <w:rFonts w:ascii="Arial" w:hAnsi="Arial" w:cs="Arial"/>
                <w:i/>
                <w:sz w:val="23"/>
              </w:rPr>
            </w:pPr>
          </w:p>
        </w:tc>
      </w:tr>
    </w:tbl>
    <w:p w14:paraId="145BEC6E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CA4D1C" w:rsidRPr="00083B74" w14:paraId="51583F66" w14:textId="77777777" w:rsidTr="005C6268">
        <w:tc>
          <w:tcPr>
            <w:tcW w:w="8522" w:type="dxa"/>
            <w:shd w:val="clear" w:color="auto" w:fill="DAEEF3"/>
          </w:tcPr>
          <w:p w14:paraId="35E94712" w14:textId="56BFEE67" w:rsidR="007577E7" w:rsidRPr="00083B74" w:rsidRDefault="00CA4D1C" w:rsidP="00AF24E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lastRenderedPageBreak/>
              <w:t>Staff management responsibility</w:t>
            </w:r>
          </w:p>
        </w:tc>
      </w:tr>
      <w:tr w:rsidR="00CA4D1C" w:rsidRPr="00083B74" w14:paraId="002E75D1" w14:textId="77777777" w:rsidTr="00083B74">
        <w:tc>
          <w:tcPr>
            <w:tcW w:w="8522" w:type="dxa"/>
          </w:tcPr>
          <w:p w14:paraId="41851F4B" w14:textId="77777777" w:rsidR="00CA4D1C" w:rsidRPr="00083B74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446BE08A" w14:textId="77777777" w:rsidR="003A77DC" w:rsidRDefault="003A77DC" w:rsidP="00962C31">
            <w:pPr>
              <w:rPr>
                <w:rFonts w:ascii="Arial" w:hAnsi="Arial" w:cs="Arial"/>
                <w:iCs/>
                <w:sz w:val="23"/>
              </w:rPr>
            </w:pPr>
            <w:r>
              <w:rPr>
                <w:rFonts w:ascii="Arial" w:hAnsi="Arial" w:cs="Arial"/>
                <w:iCs/>
                <w:sz w:val="23"/>
              </w:rPr>
              <w:t>The post-holder will directly line manage the Post-Award Manager and the European Funding Manager for the period of the transformation project. This will ensure the post-holder can work closely with the two leadership roles in the Post-Award team, to collaborate on the activity of the project.</w:t>
            </w:r>
          </w:p>
          <w:p w14:paraId="1077AEFD" w14:textId="77777777" w:rsidR="003A77DC" w:rsidRDefault="003A77DC" w:rsidP="00962C31">
            <w:pPr>
              <w:rPr>
                <w:rFonts w:ascii="Arial" w:hAnsi="Arial" w:cs="Arial"/>
                <w:iCs/>
                <w:sz w:val="23"/>
              </w:rPr>
            </w:pPr>
          </w:p>
          <w:p w14:paraId="5BCE65BC" w14:textId="2BCFB123" w:rsidR="006340F4" w:rsidRDefault="00962C31" w:rsidP="00962C31">
            <w:pPr>
              <w:rPr>
                <w:rFonts w:ascii="Arial" w:hAnsi="Arial" w:cs="Arial"/>
                <w:iCs/>
                <w:sz w:val="23"/>
              </w:rPr>
            </w:pPr>
            <w:r>
              <w:rPr>
                <w:rFonts w:ascii="Arial" w:hAnsi="Arial" w:cs="Arial"/>
                <w:iCs/>
                <w:sz w:val="23"/>
              </w:rPr>
              <w:t xml:space="preserve">The post-holder will be expected to occasionally deputise for the Head of Research Funding in their absence. </w:t>
            </w:r>
          </w:p>
          <w:p w14:paraId="6394E7B1" w14:textId="77777777" w:rsidR="006340F4" w:rsidRDefault="006340F4" w:rsidP="00962C31">
            <w:pPr>
              <w:rPr>
                <w:rFonts w:ascii="Arial" w:hAnsi="Arial" w:cs="Arial"/>
                <w:iCs/>
                <w:sz w:val="23"/>
              </w:rPr>
            </w:pPr>
          </w:p>
          <w:p w14:paraId="77057F76" w14:textId="1821CBD2" w:rsidR="00962C31" w:rsidRPr="00762D3C" w:rsidRDefault="00962C31" w:rsidP="00962C31">
            <w:pPr>
              <w:rPr>
                <w:rFonts w:ascii="Arial" w:hAnsi="Arial" w:cs="Arial"/>
                <w:iCs/>
                <w:sz w:val="23"/>
              </w:rPr>
            </w:pPr>
            <w:r>
              <w:rPr>
                <w:rFonts w:ascii="Arial" w:hAnsi="Arial" w:cs="Arial"/>
                <w:iCs/>
                <w:sz w:val="23"/>
              </w:rPr>
              <w:t>Due to the nature of the role, they may also be tasked with directing some of the work of the team</w:t>
            </w:r>
            <w:r w:rsidR="00A95C45">
              <w:rPr>
                <w:rFonts w:ascii="Arial" w:hAnsi="Arial" w:cs="Arial"/>
                <w:iCs/>
                <w:sz w:val="23"/>
              </w:rPr>
              <w:t xml:space="preserve"> in order to achieve the mandate of the fixed-term project to modernise and improve ways of working.</w:t>
            </w:r>
          </w:p>
          <w:p w14:paraId="62B9779C" w14:textId="5B4EBF15" w:rsidR="00CA4D1C" w:rsidRPr="00E93CCB" w:rsidRDefault="00CA4D1C" w:rsidP="00E93CCB">
            <w:pPr>
              <w:rPr>
                <w:rFonts w:ascii="Arial" w:hAnsi="Arial" w:cs="Arial"/>
                <w:iCs/>
                <w:sz w:val="23"/>
              </w:rPr>
            </w:pPr>
          </w:p>
        </w:tc>
      </w:tr>
    </w:tbl>
    <w:p w14:paraId="116A73BF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CA4D1C" w:rsidRPr="00083B74" w14:paraId="4E148058" w14:textId="77777777" w:rsidTr="005C6268">
        <w:tc>
          <w:tcPr>
            <w:tcW w:w="8522" w:type="dxa"/>
            <w:shd w:val="clear" w:color="auto" w:fill="DAEEF3"/>
          </w:tcPr>
          <w:p w14:paraId="2F0E2E57" w14:textId="1C29D00B" w:rsidR="007577E7" w:rsidRPr="00083B74" w:rsidRDefault="00CA4D1C" w:rsidP="00AF24E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Special conditions </w:t>
            </w:r>
          </w:p>
        </w:tc>
      </w:tr>
      <w:tr w:rsidR="00CA4D1C" w:rsidRPr="00083B74" w14:paraId="13A89E28" w14:textId="77777777" w:rsidTr="00083B74">
        <w:tc>
          <w:tcPr>
            <w:tcW w:w="8522" w:type="dxa"/>
          </w:tcPr>
          <w:p w14:paraId="038C876A" w14:textId="77777777" w:rsidR="00CA4D1C" w:rsidRPr="00083B74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4133A002" w14:textId="351FE459" w:rsidR="00CA4D1C" w:rsidRPr="00FA2B4B" w:rsidRDefault="00FA2B4B" w:rsidP="00083B74">
            <w:pPr>
              <w:rPr>
                <w:rFonts w:ascii="Arial" w:hAnsi="Arial" w:cs="Arial"/>
                <w:iCs/>
                <w:sz w:val="23"/>
              </w:rPr>
            </w:pPr>
            <w:r w:rsidRPr="00FA2B4B">
              <w:rPr>
                <w:rFonts w:ascii="Arial" w:hAnsi="Arial" w:cs="Arial"/>
                <w:iCs/>
                <w:sz w:val="23"/>
              </w:rPr>
              <w:t>None</w:t>
            </w:r>
          </w:p>
          <w:p w14:paraId="748E56E6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46C82DE3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7824"/>
      </w:tblGrid>
      <w:tr w:rsidR="00CA4D1C" w:rsidRPr="00083B74" w14:paraId="2F88BED9" w14:textId="77777777" w:rsidTr="00AF24E6">
        <w:trPr>
          <w:tblHeader/>
        </w:trPr>
        <w:tc>
          <w:tcPr>
            <w:tcW w:w="8296" w:type="dxa"/>
            <w:gridSpan w:val="2"/>
            <w:shd w:val="clear" w:color="auto" w:fill="DAEEF3"/>
          </w:tcPr>
          <w:p w14:paraId="5E77A884" w14:textId="0B1EFBAF" w:rsidR="007577E7" w:rsidRPr="00083B74" w:rsidRDefault="00CA4D1C" w:rsidP="00AF24E6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Main duties and responsibilities </w:t>
            </w:r>
          </w:p>
        </w:tc>
      </w:tr>
      <w:tr w:rsidR="002F2646" w:rsidRPr="00083B74" w14:paraId="56A0A4F2" w14:textId="77777777" w:rsidTr="008534ED">
        <w:tc>
          <w:tcPr>
            <w:tcW w:w="8296" w:type="dxa"/>
            <w:gridSpan w:val="2"/>
            <w:shd w:val="clear" w:color="auto" w:fill="auto"/>
          </w:tcPr>
          <w:p w14:paraId="06E9E91D" w14:textId="1C6B9573" w:rsidR="002F2646" w:rsidRPr="008534ED" w:rsidRDefault="002F2646" w:rsidP="00083B74">
            <w:pPr>
              <w:rPr>
                <w:rFonts w:ascii="Arial" w:hAnsi="Arial" w:cs="Arial"/>
                <w:b/>
                <w:i/>
                <w:iCs/>
                <w:sz w:val="23"/>
                <w:szCs w:val="22"/>
              </w:rPr>
            </w:pPr>
            <w:r w:rsidRPr="008534ED">
              <w:rPr>
                <w:rFonts w:ascii="Arial" w:hAnsi="Arial" w:cs="Arial"/>
                <w:b/>
                <w:i/>
                <w:iCs/>
                <w:sz w:val="23"/>
                <w:szCs w:val="22"/>
              </w:rPr>
              <w:t>Leadership</w:t>
            </w:r>
          </w:p>
        </w:tc>
      </w:tr>
      <w:tr w:rsidR="00CA4D1C" w:rsidRPr="00083B74" w14:paraId="7CCC125B" w14:textId="77777777" w:rsidTr="00FA7802">
        <w:tc>
          <w:tcPr>
            <w:tcW w:w="472" w:type="dxa"/>
          </w:tcPr>
          <w:p w14:paraId="26CBAAA6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1</w:t>
            </w:r>
          </w:p>
        </w:tc>
        <w:tc>
          <w:tcPr>
            <w:tcW w:w="7824" w:type="dxa"/>
          </w:tcPr>
          <w:p w14:paraId="39408F73" w14:textId="59CB4C74" w:rsidR="00CC7A60" w:rsidRPr="00B4746A" w:rsidRDefault="00A95C45" w:rsidP="00B4746A">
            <w:pPr>
              <w:rPr>
                <w:rFonts w:ascii="Arial" w:hAnsi="Arial" w:cs="Arial"/>
                <w:bCs/>
                <w:sz w:val="23"/>
              </w:rPr>
            </w:pPr>
            <w:r w:rsidRPr="00A95C45">
              <w:rPr>
                <w:rFonts w:ascii="Arial" w:hAnsi="Arial" w:cs="Arial"/>
                <w:bCs/>
                <w:sz w:val="23"/>
              </w:rPr>
              <w:t xml:space="preserve">Lead the review of the ways of working in the </w:t>
            </w:r>
            <w:r w:rsidR="00CA4D1E">
              <w:rPr>
                <w:rFonts w:ascii="Arial" w:hAnsi="Arial" w:cs="Arial"/>
                <w:bCs/>
                <w:sz w:val="23"/>
              </w:rPr>
              <w:t>Post-Award</w:t>
            </w:r>
            <w:r w:rsidRPr="00A95C45">
              <w:rPr>
                <w:rFonts w:ascii="Arial" w:hAnsi="Arial" w:cs="Arial"/>
                <w:bCs/>
                <w:sz w:val="23"/>
              </w:rPr>
              <w:t xml:space="preserve"> team</w:t>
            </w:r>
            <w:r>
              <w:rPr>
                <w:rFonts w:ascii="Arial" w:hAnsi="Arial" w:cs="Arial"/>
                <w:bCs/>
                <w:sz w:val="23"/>
              </w:rPr>
              <w:t xml:space="preserve"> </w:t>
            </w:r>
            <w:r w:rsidR="002A2034">
              <w:rPr>
                <w:rFonts w:ascii="Arial" w:hAnsi="Arial" w:cs="Arial"/>
                <w:bCs/>
                <w:sz w:val="23"/>
              </w:rPr>
              <w:t>– translating requirements into system configuration and operational design</w:t>
            </w:r>
          </w:p>
        </w:tc>
      </w:tr>
      <w:tr w:rsidR="00722CD7" w:rsidRPr="00083B74" w14:paraId="2C210D34" w14:textId="77777777" w:rsidTr="00FA7802">
        <w:tc>
          <w:tcPr>
            <w:tcW w:w="472" w:type="dxa"/>
          </w:tcPr>
          <w:p w14:paraId="0A70AF28" w14:textId="53E59CAF" w:rsidR="00722CD7" w:rsidRPr="00083B74" w:rsidRDefault="00CA4D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2</w:t>
            </w:r>
          </w:p>
        </w:tc>
        <w:tc>
          <w:tcPr>
            <w:tcW w:w="7824" w:type="dxa"/>
          </w:tcPr>
          <w:p w14:paraId="1FFC4648" w14:textId="54B8C9FB" w:rsidR="00722CD7" w:rsidRPr="00A95C45" w:rsidRDefault="00722CD7" w:rsidP="00B4746A">
            <w:pPr>
              <w:rPr>
                <w:rFonts w:ascii="Arial" w:hAnsi="Arial" w:cs="Arial"/>
                <w:bCs/>
                <w:sz w:val="23"/>
              </w:rPr>
            </w:pPr>
            <w:r w:rsidRPr="00722CD7">
              <w:rPr>
                <w:rFonts w:ascii="Arial" w:hAnsi="Arial" w:cs="Arial"/>
                <w:bCs/>
                <w:sz w:val="23"/>
              </w:rPr>
              <w:t>Lead the development and delivery of a complex, interdependent transformation plan, balancing system implementation, process redesign, change management and operational continuity across multiple stakeholders.</w:t>
            </w:r>
          </w:p>
        </w:tc>
      </w:tr>
      <w:tr w:rsidR="002F2646" w:rsidRPr="00083B74" w14:paraId="3C24411E" w14:textId="77777777" w:rsidTr="00FA7802">
        <w:tc>
          <w:tcPr>
            <w:tcW w:w="472" w:type="dxa"/>
          </w:tcPr>
          <w:p w14:paraId="582099B1" w14:textId="6740D594" w:rsidR="002F2646" w:rsidRPr="00083B74" w:rsidRDefault="00CA4D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3</w:t>
            </w:r>
          </w:p>
        </w:tc>
        <w:tc>
          <w:tcPr>
            <w:tcW w:w="7824" w:type="dxa"/>
          </w:tcPr>
          <w:p w14:paraId="75B50240" w14:textId="252DEA61" w:rsidR="002F2646" w:rsidRPr="00A95C45" w:rsidRDefault="002F2646" w:rsidP="00B4746A">
            <w:pPr>
              <w:rPr>
                <w:rFonts w:ascii="Arial" w:hAnsi="Arial" w:cs="Arial"/>
                <w:bCs/>
                <w:sz w:val="23"/>
              </w:rPr>
            </w:pPr>
            <w:r w:rsidRPr="00A47E12">
              <w:rPr>
                <w:rFonts w:ascii="Arial" w:hAnsi="Arial" w:cs="Arial"/>
                <w:bCs/>
                <w:sz w:val="23"/>
              </w:rPr>
              <w:t>Coach and mentor managers and officers to develop technical, analytical, and systems capability</w:t>
            </w:r>
          </w:p>
        </w:tc>
      </w:tr>
      <w:tr w:rsidR="0053615E" w:rsidRPr="00083B74" w14:paraId="421DF462" w14:textId="77777777" w:rsidTr="00FA7802">
        <w:tc>
          <w:tcPr>
            <w:tcW w:w="472" w:type="dxa"/>
          </w:tcPr>
          <w:p w14:paraId="285FF373" w14:textId="3D4E8DFF" w:rsidR="0053615E" w:rsidRDefault="00CA4D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4</w:t>
            </w:r>
          </w:p>
        </w:tc>
        <w:tc>
          <w:tcPr>
            <w:tcW w:w="7824" w:type="dxa"/>
          </w:tcPr>
          <w:p w14:paraId="040B573A" w14:textId="33EFB3CF" w:rsidR="0053615E" w:rsidRPr="00A47E12" w:rsidRDefault="00202CED" w:rsidP="00B4746A">
            <w:pPr>
              <w:rPr>
                <w:rFonts w:ascii="Arial" w:hAnsi="Arial" w:cs="Arial"/>
                <w:bCs/>
                <w:sz w:val="23"/>
              </w:rPr>
            </w:pPr>
            <w:r>
              <w:rPr>
                <w:rFonts w:ascii="Arial" w:hAnsi="Arial" w:cs="Arial"/>
                <w:bCs/>
                <w:sz w:val="23"/>
              </w:rPr>
              <w:t>Line management responsibility for the grade 7 roles in the Post-Award team</w:t>
            </w:r>
          </w:p>
        </w:tc>
      </w:tr>
      <w:tr w:rsidR="000C2BB3" w:rsidRPr="00083B74" w14:paraId="512B7C0E" w14:textId="77777777" w:rsidTr="002C6F5B">
        <w:tc>
          <w:tcPr>
            <w:tcW w:w="8296" w:type="dxa"/>
            <w:gridSpan w:val="2"/>
          </w:tcPr>
          <w:p w14:paraId="12293037" w14:textId="61F05D42" w:rsidR="000C2BB3" w:rsidRPr="000C2BB3" w:rsidRDefault="000C2BB3" w:rsidP="00B4746A">
            <w:pPr>
              <w:rPr>
                <w:rFonts w:ascii="Arial" w:hAnsi="Arial" w:cs="Arial"/>
                <w:b/>
                <w:i/>
                <w:iCs/>
                <w:sz w:val="23"/>
              </w:rPr>
            </w:pPr>
            <w:r w:rsidRPr="000C2BB3">
              <w:rPr>
                <w:rFonts w:ascii="Arial" w:hAnsi="Arial" w:cs="Arial"/>
                <w:b/>
                <w:i/>
                <w:iCs/>
                <w:sz w:val="23"/>
              </w:rPr>
              <w:t>Policy &amp; Process Development</w:t>
            </w:r>
          </w:p>
        </w:tc>
      </w:tr>
      <w:tr w:rsidR="00CA4D1C" w:rsidRPr="00083B74" w14:paraId="2ACC47D0" w14:textId="77777777" w:rsidTr="00FA7802">
        <w:tc>
          <w:tcPr>
            <w:tcW w:w="472" w:type="dxa"/>
          </w:tcPr>
          <w:p w14:paraId="3BE91642" w14:textId="0DD1DF5F" w:rsidR="00CA4D1C" w:rsidRPr="00083B74" w:rsidRDefault="00CA4D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5</w:t>
            </w:r>
          </w:p>
        </w:tc>
        <w:tc>
          <w:tcPr>
            <w:tcW w:w="7824" w:type="dxa"/>
          </w:tcPr>
          <w:p w14:paraId="5BDF910B" w14:textId="0A97198E" w:rsidR="00CC7A60" w:rsidRPr="00B4746A" w:rsidRDefault="00B4746A" w:rsidP="00B4746A">
            <w:pPr>
              <w:rPr>
                <w:rFonts w:ascii="Arial" w:hAnsi="Arial" w:cs="Arial"/>
                <w:bCs/>
                <w:sz w:val="23"/>
              </w:rPr>
            </w:pPr>
            <w:r>
              <w:rPr>
                <w:rFonts w:ascii="Arial" w:hAnsi="Arial" w:cs="Arial"/>
                <w:bCs/>
                <w:sz w:val="23"/>
              </w:rPr>
              <w:t>Identify and address system</w:t>
            </w:r>
            <w:r w:rsidR="00A625EC">
              <w:rPr>
                <w:rFonts w:ascii="Arial" w:hAnsi="Arial" w:cs="Arial"/>
                <w:bCs/>
                <w:sz w:val="23"/>
              </w:rPr>
              <w:t>-</w:t>
            </w:r>
            <w:r w:rsidR="006D7D9D">
              <w:rPr>
                <w:rFonts w:ascii="Arial" w:hAnsi="Arial" w:cs="Arial"/>
                <w:bCs/>
                <w:sz w:val="23"/>
              </w:rPr>
              <w:t xml:space="preserve"> and process</w:t>
            </w:r>
            <w:r>
              <w:rPr>
                <w:rFonts w:ascii="Arial" w:hAnsi="Arial" w:cs="Arial"/>
                <w:bCs/>
                <w:sz w:val="23"/>
              </w:rPr>
              <w:t>-related risks, inefficiencies or workarounds</w:t>
            </w:r>
          </w:p>
        </w:tc>
      </w:tr>
      <w:tr w:rsidR="009A7CBB" w:rsidRPr="00083B74" w14:paraId="6A93CAC5" w14:textId="77777777" w:rsidTr="00FA7802">
        <w:tc>
          <w:tcPr>
            <w:tcW w:w="472" w:type="dxa"/>
          </w:tcPr>
          <w:p w14:paraId="1CA593A4" w14:textId="47730AD1" w:rsidR="009A7CBB" w:rsidRDefault="00CA4D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6</w:t>
            </w:r>
          </w:p>
        </w:tc>
        <w:tc>
          <w:tcPr>
            <w:tcW w:w="7824" w:type="dxa"/>
          </w:tcPr>
          <w:p w14:paraId="171DBACB" w14:textId="469BE7DB" w:rsidR="009A7CBB" w:rsidRDefault="00EA3116" w:rsidP="00B4746A">
            <w:pPr>
              <w:rPr>
                <w:rFonts w:ascii="Arial" w:hAnsi="Arial" w:cs="Arial"/>
                <w:bCs/>
                <w:sz w:val="23"/>
              </w:rPr>
            </w:pPr>
            <w:r>
              <w:rPr>
                <w:rFonts w:ascii="Arial" w:hAnsi="Arial" w:cs="Arial"/>
                <w:bCs/>
                <w:sz w:val="23"/>
              </w:rPr>
              <w:t>Streamline processes,</w:t>
            </w:r>
            <w:r w:rsidR="009A7CBB">
              <w:rPr>
                <w:rFonts w:ascii="Arial" w:hAnsi="Arial" w:cs="Arial"/>
                <w:bCs/>
                <w:sz w:val="23"/>
              </w:rPr>
              <w:t xml:space="preserve"> making </w:t>
            </w:r>
            <w:r w:rsidR="00B81C52">
              <w:rPr>
                <w:rFonts w:ascii="Arial" w:hAnsi="Arial" w:cs="Arial"/>
                <w:bCs/>
                <w:sz w:val="23"/>
              </w:rPr>
              <w:t xml:space="preserve">best use of technical solutions to enhance </w:t>
            </w:r>
            <w:r>
              <w:rPr>
                <w:rFonts w:ascii="Arial" w:hAnsi="Arial" w:cs="Arial"/>
                <w:bCs/>
                <w:sz w:val="23"/>
              </w:rPr>
              <w:t>team service provision</w:t>
            </w:r>
          </w:p>
        </w:tc>
      </w:tr>
      <w:tr w:rsidR="00EC424E" w:rsidRPr="00083B74" w14:paraId="29BCB0E1" w14:textId="77777777" w:rsidTr="00FA7802">
        <w:tc>
          <w:tcPr>
            <w:tcW w:w="472" w:type="dxa"/>
          </w:tcPr>
          <w:p w14:paraId="7AD71F54" w14:textId="2372BC75" w:rsidR="00EC424E" w:rsidRPr="00083B74" w:rsidRDefault="00CA4D1E" w:rsidP="00EC424E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7</w:t>
            </w:r>
          </w:p>
        </w:tc>
        <w:tc>
          <w:tcPr>
            <w:tcW w:w="7824" w:type="dxa"/>
          </w:tcPr>
          <w:p w14:paraId="2431E8CC" w14:textId="01916EB5" w:rsidR="00EC424E" w:rsidRPr="00FC24F7" w:rsidRDefault="00EC424E" w:rsidP="00EC424E">
            <w:pPr>
              <w:rPr>
                <w:rFonts w:ascii="Arial" w:hAnsi="Arial" w:cs="Arial"/>
                <w:bCs/>
                <w:sz w:val="23"/>
              </w:rPr>
            </w:pPr>
            <w:r w:rsidRPr="00931FCB">
              <w:rPr>
                <w:rFonts w:ascii="Arial" w:hAnsi="Arial" w:cs="Arial"/>
                <w:bCs/>
                <w:sz w:val="23"/>
              </w:rPr>
              <w:t xml:space="preserve">Establish clear, documented procedures, templates, and </w:t>
            </w:r>
            <w:r w:rsidR="00B17B02">
              <w:rPr>
                <w:rFonts w:ascii="Arial" w:hAnsi="Arial" w:cs="Arial"/>
                <w:bCs/>
                <w:sz w:val="23"/>
              </w:rPr>
              <w:t>resources – translating complex concepts into clear, practical guidance</w:t>
            </w:r>
          </w:p>
        </w:tc>
      </w:tr>
      <w:tr w:rsidR="00EC424E" w:rsidRPr="00083B74" w14:paraId="4FE77EF4" w14:textId="77777777" w:rsidTr="00FA7802">
        <w:trPr>
          <w:trHeight w:val="449"/>
        </w:trPr>
        <w:tc>
          <w:tcPr>
            <w:tcW w:w="472" w:type="dxa"/>
          </w:tcPr>
          <w:p w14:paraId="46DA6840" w14:textId="03B4A7C1" w:rsidR="00EC424E" w:rsidRPr="00083B74" w:rsidRDefault="00CA4D1E" w:rsidP="00EC424E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8</w:t>
            </w:r>
          </w:p>
        </w:tc>
        <w:tc>
          <w:tcPr>
            <w:tcW w:w="7824" w:type="dxa"/>
          </w:tcPr>
          <w:p w14:paraId="4182BF08" w14:textId="5A4A739C" w:rsidR="00EC424E" w:rsidRPr="00A47E12" w:rsidRDefault="00EC424E" w:rsidP="00EC424E">
            <w:pPr>
              <w:rPr>
                <w:rFonts w:ascii="Arial" w:hAnsi="Arial" w:cs="Arial"/>
                <w:bCs/>
                <w:sz w:val="23"/>
              </w:rPr>
            </w:pPr>
            <w:r w:rsidRPr="0008087A">
              <w:rPr>
                <w:rFonts w:ascii="Arial" w:hAnsi="Arial" w:cs="Arial"/>
                <w:bCs/>
                <w:sz w:val="23"/>
              </w:rPr>
              <w:t>Build confidence in interpreting, explaining, and advising on research financial information</w:t>
            </w:r>
          </w:p>
        </w:tc>
      </w:tr>
      <w:tr w:rsidR="00EC424E" w:rsidRPr="00083B74" w14:paraId="7B272A9C" w14:textId="77777777" w:rsidTr="00FA7802">
        <w:tc>
          <w:tcPr>
            <w:tcW w:w="472" w:type="dxa"/>
          </w:tcPr>
          <w:p w14:paraId="7EFE49CD" w14:textId="44944305" w:rsidR="00EC424E" w:rsidRPr="00083B74" w:rsidRDefault="00CA4D1E" w:rsidP="00EC424E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9</w:t>
            </w:r>
          </w:p>
        </w:tc>
        <w:tc>
          <w:tcPr>
            <w:tcW w:w="7824" w:type="dxa"/>
          </w:tcPr>
          <w:p w14:paraId="60F03B7E" w14:textId="15FCA21E" w:rsidR="00EC424E" w:rsidRPr="00083B74" w:rsidRDefault="00EC424E" w:rsidP="00EC424E">
            <w:pPr>
              <w:rPr>
                <w:rFonts w:ascii="Arial" w:hAnsi="Arial" w:cs="Arial"/>
                <w:b/>
                <w:sz w:val="23"/>
              </w:rPr>
            </w:pPr>
            <w:r w:rsidRPr="0008087A">
              <w:rPr>
                <w:rFonts w:ascii="Arial" w:hAnsi="Arial" w:cs="Arial"/>
                <w:bCs/>
                <w:sz w:val="23"/>
              </w:rPr>
              <w:t>Identify capability gaps and advise senior leadership on role design</w:t>
            </w:r>
            <w:r w:rsidR="00CF0FF3">
              <w:rPr>
                <w:rFonts w:ascii="Arial" w:hAnsi="Arial" w:cs="Arial"/>
                <w:bCs/>
                <w:sz w:val="23"/>
              </w:rPr>
              <w:t xml:space="preserve"> </w:t>
            </w:r>
          </w:p>
        </w:tc>
      </w:tr>
      <w:tr w:rsidR="004C14B6" w:rsidRPr="00083B74" w14:paraId="242017A8" w14:textId="77777777" w:rsidTr="003F011B">
        <w:tc>
          <w:tcPr>
            <w:tcW w:w="8296" w:type="dxa"/>
            <w:gridSpan w:val="2"/>
          </w:tcPr>
          <w:p w14:paraId="52A87868" w14:textId="287624B3" w:rsidR="004C14B6" w:rsidRPr="004C14B6" w:rsidRDefault="004C14B6" w:rsidP="00EC424E">
            <w:pPr>
              <w:rPr>
                <w:rFonts w:ascii="Arial" w:hAnsi="Arial" w:cs="Arial"/>
                <w:b/>
                <w:i/>
                <w:iCs/>
                <w:sz w:val="23"/>
              </w:rPr>
            </w:pPr>
            <w:r w:rsidRPr="004C14B6">
              <w:rPr>
                <w:rFonts w:ascii="Arial" w:hAnsi="Arial" w:cs="Arial"/>
                <w:b/>
                <w:i/>
                <w:iCs/>
                <w:sz w:val="23"/>
              </w:rPr>
              <w:t>Analysis</w:t>
            </w:r>
            <w:r w:rsidR="00A8754E">
              <w:rPr>
                <w:rFonts w:ascii="Arial" w:hAnsi="Arial" w:cs="Arial"/>
                <w:b/>
                <w:i/>
                <w:iCs/>
                <w:sz w:val="23"/>
              </w:rPr>
              <w:t xml:space="preserve"> &amp; Benchmarking</w:t>
            </w:r>
          </w:p>
        </w:tc>
      </w:tr>
      <w:tr w:rsidR="00EA3116" w:rsidRPr="00083B74" w14:paraId="37626958" w14:textId="77777777" w:rsidTr="00FA7802">
        <w:tc>
          <w:tcPr>
            <w:tcW w:w="472" w:type="dxa"/>
          </w:tcPr>
          <w:p w14:paraId="7E3854C1" w14:textId="06DC0198" w:rsidR="00EA3116" w:rsidRPr="00083B74" w:rsidRDefault="00CA4D1E" w:rsidP="00EA3116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10</w:t>
            </w:r>
          </w:p>
        </w:tc>
        <w:tc>
          <w:tcPr>
            <w:tcW w:w="7824" w:type="dxa"/>
          </w:tcPr>
          <w:p w14:paraId="0E99A52D" w14:textId="0DB12A67" w:rsidR="00EA3116" w:rsidRPr="0008087A" w:rsidRDefault="00EA3116" w:rsidP="00EA3116">
            <w:pPr>
              <w:rPr>
                <w:rFonts w:ascii="Arial" w:hAnsi="Arial" w:cs="Arial"/>
                <w:bCs/>
                <w:sz w:val="23"/>
              </w:rPr>
            </w:pPr>
            <w:r w:rsidRPr="007B4CD7">
              <w:rPr>
                <w:rFonts w:ascii="Arial" w:hAnsi="Arial" w:cs="Arial"/>
                <w:bCs/>
                <w:sz w:val="23"/>
              </w:rPr>
              <w:t>Support decision</w:t>
            </w:r>
            <w:r w:rsidRPr="007B4CD7">
              <w:rPr>
                <w:rFonts w:ascii="Arial" w:hAnsi="Arial" w:cs="Arial"/>
                <w:bCs/>
                <w:sz w:val="23"/>
              </w:rPr>
              <w:noBreakHyphen/>
              <w:t>making with high</w:t>
            </w:r>
            <w:r w:rsidRPr="007B4CD7">
              <w:rPr>
                <w:rFonts w:ascii="Arial" w:hAnsi="Arial" w:cs="Arial"/>
                <w:bCs/>
                <w:sz w:val="23"/>
              </w:rPr>
              <w:noBreakHyphen/>
              <w:t>quality insight and analysis</w:t>
            </w:r>
            <w:r>
              <w:rPr>
                <w:rFonts w:ascii="Arial" w:hAnsi="Arial" w:cs="Arial"/>
                <w:bCs/>
                <w:sz w:val="23"/>
              </w:rPr>
              <w:t xml:space="preserve"> of data</w:t>
            </w:r>
          </w:p>
        </w:tc>
      </w:tr>
      <w:tr w:rsidR="00EA3116" w:rsidRPr="00083B74" w14:paraId="0F7D4A03" w14:textId="77777777" w:rsidTr="00FA7802">
        <w:tc>
          <w:tcPr>
            <w:tcW w:w="472" w:type="dxa"/>
          </w:tcPr>
          <w:p w14:paraId="0B1EE53C" w14:textId="4135D17A" w:rsidR="00EA3116" w:rsidRDefault="00A248B0" w:rsidP="00EA3116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</w:t>
            </w:r>
            <w:r w:rsidR="00CA4D1E">
              <w:rPr>
                <w:rFonts w:ascii="Arial" w:hAnsi="Arial" w:cs="Arial"/>
                <w:b/>
                <w:sz w:val="23"/>
                <w:szCs w:val="22"/>
              </w:rPr>
              <w:t>1</w:t>
            </w:r>
          </w:p>
        </w:tc>
        <w:tc>
          <w:tcPr>
            <w:tcW w:w="7824" w:type="dxa"/>
          </w:tcPr>
          <w:p w14:paraId="3B4CE1C0" w14:textId="4722BA39" w:rsidR="00EA3116" w:rsidRPr="00D008D4" w:rsidRDefault="00EA3116" w:rsidP="00EA3116">
            <w:pPr>
              <w:rPr>
                <w:rFonts w:ascii="Arial" w:hAnsi="Arial" w:cs="Arial"/>
                <w:bCs/>
                <w:sz w:val="23"/>
              </w:rPr>
            </w:pPr>
            <w:r w:rsidRPr="00D008D4">
              <w:rPr>
                <w:rFonts w:ascii="Arial" w:hAnsi="Arial" w:cs="Arial"/>
                <w:bCs/>
                <w:sz w:val="23"/>
              </w:rPr>
              <w:t>Monitor the impact of implemented changes and refine the action plan as needed</w:t>
            </w:r>
          </w:p>
        </w:tc>
      </w:tr>
      <w:tr w:rsidR="00A162A4" w:rsidRPr="00083B74" w14:paraId="50F81AD6" w14:textId="77777777" w:rsidTr="001373D6">
        <w:tc>
          <w:tcPr>
            <w:tcW w:w="8296" w:type="dxa"/>
            <w:gridSpan w:val="2"/>
          </w:tcPr>
          <w:p w14:paraId="55845685" w14:textId="77777777" w:rsidR="00A162A4" w:rsidRPr="00295D65" w:rsidRDefault="00A162A4" w:rsidP="001373D6">
            <w:pPr>
              <w:rPr>
                <w:rFonts w:ascii="Arial" w:hAnsi="Arial" w:cs="Arial"/>
                <w:b/>
                <w:i/>
                <w:iCs/>
                <w:sz w:val="23"/>
              </w:rPr>
            </w:pPr>
            <w:r>
              <w:rPr>
                <w:rFonts w:ascii="Arial" w:hAnsi="Arial" w:cs="Arial"/>
                <w:b/>
                <w:i/>
                <w:iCs/>
                <w:sz w:val="23"/>
              </w:rPr>
              <w:t>Strategic Advice &amp; Future Planning</w:t>
            </w:r>
          </w:p>
        </w:tc>
      </w:tr>
      <w:tr w:rsidR="00A162A4" w:rsidRPr="00083B74" w14:paraId="31131259" w14:textId="77777777" w:rsidTr="001373D6">
        <w:tc>
          <w:tcPr>
            <w:tcW w:w="472" w:type="dxa"/>
          </w:tcPr>
          <w:p w14:paraId="592A5A82" w14:textId="48B20412" w:rsidR="00A162A4" w:rsidRDefault="00A162A4" w:rsidP="001373D6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</w:t>
            </w:r>
            <w:r w:rsidR="00202CED">
              <w:rPr>
                <w:rFonts w:ascii="Arial" w:hAnsi="Arial" w:cs="Arial"/>
                <w:b/>
                <w:sz w:val="23"/>
                <w:szCs w:val="22"/>
              </w:rPr>
              <w:t>2</w:t>
            </w:r>
          </w:p>
        </w:tc>
        <w:tc>
          <w:tcPr>
            <w:tcW w:w="7824" w:type="dxa"/>
          </w:tcPr>
          <w:p w14:paraId="48DF141A" w14:textId="741AFF3B" w:rsidR="00A162A4" w:rsidRPr="00762D3C" w:rsidRDefault="00565E8A" w:rsidP="001373D6">
            <w:pPr>
              <w:rPr>
                <w:rFonts w:ascii="Arial" w:hAnsi="Arial" w:cs="Arial"/>
                <w:bCs/>
                <w:sz w:val="23"/>
              </w:rPr>
            </w:pPr>
            <w:r w:rsidRPr="00565E8A">
              <w:rPr>
                <w:rFonts w:ascii="Arial" w:hAnsi="Arial" w:cs="Arial"/>
                <w:bCs/>
                <w:sz w:val="23"/>
              </w:rPr>
              <w:t>Provide expert advice and shape strategic options and recommendations to senior leaders on the future operating model for Research Finance, including analysis of risks, trade</w:t>
            </w:r>
            <w:r w:rsidRPr="00565E8A">
              <w:rPr>
                <w:rFonts w:ascii="Cambria Math" w:hAnsi="Cambria Math" w:cs="Cambria Math"/>
                <w:bCs/>
                <w:sz w:val="23"/>
              </w:rPr>
              <w:t>‑</w:t>
            </w:r>
            <w:r w:rsidRPr="00565E8A">
              <w:rPr>
                <w:rFonts w:ascii="Arial" w:hAnsi="Arial" w:cs="Arial"/>
                <w:bCs/>
                <w:sz w:val="23"/>
              </w:rPr>
              <w:t>offs and resource implications</w:t>
            </w:r>
          </w:p>
        </w:tc>
      </w:tr>
      <w:tr w:rsidR="00A162A4" w:rsidRPr="00083B74" w14:paraId="5E334CC8" w14:textId="77777777" w:rsidTr="001373D6">
        <w:tc>
          <w:tcPr>
            <w:tcW w:w="472" w:type="dxa"/>
          </w:tcPr>
          <w:p w14:paraId="43B39F32" w14:textId="7052FCB4" w:rsidR="00A162A4" w:rsidRDefault="00A162A4" w:rsidP="001373D6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</w:t>
            </w:r>
            <w:r w:rsidR="00202CED">
              <w:rPr>
                <w:rFonts w:ascii="Arial" w:hAnsi="Arial" w:cs="Arial"/>
                <w:b/>
                <w:sz w:val="23"/>
                <w:szCs w:val="22"/>
              </w:rPr>
              <w:t>3</w:t>
            </w:r>
          </w:p>
        </w:tc>
        <w:tc>
          <w:tcPr>
            <w:tcW w:w="7824" w:type="dxa"/>
          </w:tcPr>
          <w:p w14:paraId="1B9E5F64" w14:textId="77777777" w:rsidR="00AF24E6" w:rsidRDefault="00A162A4" w:rsidP="001373D6">
            <w:pPr>
              <w:rPr>
                <w:rFonts w:ascii="Arial" w:hAnsi="Arial" w:cs="Arial"/>
                <w:bCs/>
                <w:sz w:val="23"/>
              </w:rPr>
            </w:pPr>
            <w:r w:rsidRPr="00A162A4">
              <w:rPr>
                <w:rFonts w:ascii="Arial" w:hAnsi="Arial" w:cs="Arial"/>
                <w:bCs/>
                <w:sz w:val="23"/>
              </w:rPr>
              <w:t>Contribute evidence</w:t>
            </w:r>
            <w:r w:rsidRPr="00A162A4">
              <w:rPr>
                <w:rFonts w:ascii="Arial" w:hAnsi="Arial" w:cs="Arial"/>
                <w:bCs/>
                <w:sz w:val="23"/>
              </w:rPr>
              <w:noBreakHyphen/>
              <w:t>based recommendations on permanent structures, roles, and resourcing</w:t>
            </w:r>
          </w:p>
          <w:p w14:paraId="0C651DE0" w14:textId="77777777" w:rsidR="00AF24E6" w:rsidRDefault="00AF24E6" w:rsidP="001373D6">
            <w:pPr>
              <w:rPr>
                <w:rFonts w:ascii="Arial" w:hAnsi="Arial" w:cs="Arial"/>
                <w:bCs/>
                <w:sz w:val="23"/>
              </w:rPr>
            </w:pPr>
          </w:p>
          <w:p w14:paraId="5CEF2A36" w14:textId="0AED8C80" w:rsidR="00AF24E6" w:rsidRPr="00295D65" w:rsidRDefault="00AF24E6" w:rsidP="001373D6">
            <w:pPr>
              <w:rPr>
                <w:rFonts w:ascii="Arial" w:hAnsi="Arial" w:cs="Arial"/>
                <w:bCs/>
                <w:sz w:val="23"/>
              </w:rPr>
            </w:pPr>
          </w:p>
        </w:tc>
      </w:tr>
      <w:tr w:rsidR="00EA3116" w:rsidRPr="00083B74" w14:paraId="2B8CEC14" w14:textId="77777777" w:rsidTr="005308C2">
        <w:tc>
          <w:tcPr>
            <w:tcW w:w="8296" w:type="dxa"/>
            <w:gridSpan w:val="2"/>
          </w:tcPr>
          <w:p w14:paraId="45501044" w14:textId="03F866C5" w:rsidR="00EA3116" w:rsidRPr="00A8754E" w:rsidRDefault="00EA3116" w:rsidP="00EA3116">
            <w:pPr>
              <w:rPr>
                <w:rFonts w:ascii="Arial" w:hAnsi="Arial" w:cs="Arial"/>
                <w:b/>
                <w:i/>
                <w:iCs/>
                <w:sz w:val="23"/>
              </w:rPr>
            </w:pPr>
            <w:r>
              <w:rPr>
                <w:rFonts w:ascii="Arial" w:hAnsi="Arial" w:cs="Arial"/>
                <w:b/>
                <w:i/>
                <w:iCs/>
                <w:sz w:val="23"/>
              </w:rPr>
              <w:lastRenderedPageBreak/>
              <w:t>Collaboration</w:t>
            </w:r>
          </w:p>
        </w:tc>
      </w:tr>
      <w:tr w:rsidR="00EA3116" w:rsidRPr="00083B74" w14:paraId="39F31310" w14:textId="77777777" w:rsidTr="00FA7802">
        <w:tc>
          <w:tcPr>
            <w:tcW w:w="472" w:type="dxa"/>
          </w:tcPr>
          <w:p w14:paraId="55701F12" w14:textId="3AB5813F" w:rsidR="00EA3116" w:rsidRPr="00083B74" w:rsidRDefault="00EA3116" w:rsidP="00EA3116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</w:t>
            </w:r>
            <w:r w:rsidR="00202CED">
              <w:rPr>
                <w:rFonts w:ascii="Arial" w:hAnsi="Arial" w:cs="Arial"/>
                <w:b/>
                <w:sz w:val="23"/>
                <w:szCs w:val="22"/>
              </w:rPr>
              <w:t>4</w:t>
            </w:r>
          </w:p>
        </w:tc>
        <w:tc>
          <w:tcPr>
            <w:tcW w:w="7824" w:type="dxa"/>
          </w:tcPr>
          <w:p w14:paraId="3F26435D" w14:textId="1A728B6F" w:rsidR="00EA3116" w:rsidRPr="00083B74" w:rsidRDefault="00EA3116" w:rsidP="00EA3116">
            <w:pPr>
              <w:rPr>
                <w:rFonts w:ascii="Arial" w:hAnsi="Arial" w:cs="Arial"/>
                <w:b/>
                <w:sz w:val="23"/>
              </w:rPr>
            </w:pPr>
            <w:r w:rsidRPr="00FC24F7">
              <w:rPr>
                <w:rFonts w:ascii="Arial" w:hAnsi="Arial" w:cs="Arial"/>
                <w:bCs/>
                <w:sz w:val="23"/>
              </w:rPr>
              <w:t>Work closely with the Head of Research Funding, Pre-Awar</w:t>
            </w:r>
            <w:r w:rsidR="0015451D">
              <w:rPr>
                <w:rFonts w:ascii="Arial" w:hAnsi="Arial" w:cs="Arial"/>
                <w:bCs/>
                <w:sz w:val="23"/>
              </w:rPr>
              <w:t>d</w:t>
            </w:r>
            <w:r w:rsidR="00855632">
              <w:rPr>
                <w:rFonts w:ascii="Arial" w:hAnsi="Arial" w:cs="Arial"/>
                <w:bCs/>
                <w:sz w:val="23"/>
              </w:rPr>
              <w:t xml:space="preserve"> Manager, </w:t>
            </w:r>
            <w:r w:rsidR="0015451D">
              <w:rPr>
                <w:rFonts w:ascii="Arial" w:hAnsi="Arial" w:cs="Arial"/>
                <w:bCs/>
                <w:sz w:val="23"/>
              </w:rPr>
              <w:t>Research Recovery Rates</w:t>
            </w:r>
            <w:r w:rsidR="00855632">
              <w:rPr>
                <w:rFonts w:ascii="Arial" w:hAnsi="Arial" w:cs="Arial"/>
                <w:bCs/>
                <w:sz w:val="23"/>
              </w:rPr>
              <w:t xml:space="preserve"> Programme Manager</w:t>
            </w:r>
            <w:r w:rsidRPr="00FC24F7">
              <w:rPr>
                <w:rFonts w:ascii="Arial" w:hAnsi="Arial" w:cs="Arial"/>
                <w:bCs/>
                <w:sz w:val="23"/>
              </w:rPr>
              <w:t>, and the Director of Research &amp; Impact Services</w:t>
            </w:r>
          </w:p>
        </w:tc>
      </w:tr>
      <w:tr w:rsidR="00EA3116" w:rsidRPr="00083B74" w14:paraId="763A0B88" w14:textId="77777777" w:rsidTr="00FA7802">
        <w:tc>
          <w:tcPr>
            <w:tcW w:w="472" w:type="dxa"/>
          </w:tcPr>
          <w:p w14:paraId="3D2F2335" w14:textId="375BD5B3" w:rsidR="00EA3116" w:rsidRPr="00083B74" w:rsidRDefault="00EA3116" w:rsidP="00EA3116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</w:t>
            </w:r>
            <w:r w:rsidR="00202CED">
              <w:rPr>
                <w:rFonts w:ascii="Arial" w:hAnsi="Arial" w:cs="Arial"/>
                <w:b/>
                <w:sz w:val="23"/>
                <w:szCs w:val="22"/>
              </w:rPr>
              <w:t>5</w:t>
            </w:r>
          </w:p>
        </w:tc>
        <w:tc>
          <w:tcPr>
            <w:tcW w:w="7824" w:type="dxa"/>
          </w:tcPr>
          <w:p w14:paraId="78552A05" w14:textId="4A089F3F" w:rsidR="00EA3116" w:rsidRPr="00083B74" w:rsidRDefault="00EA3116" w:rsidP="00EA3116">
            <w:pPr>
              <w:rPr>
                <w:rFonts w:ascii="Arial" w:hAnsi="Arial" w:cs="Arial"/>
                <w:b/>
                <w:sz w:val="23"/>
              </w:rPr>
            </w:pPr>
            <w:r w:rsidRPr="00B4746A">
              <w:rPr>
                <w:rFonts w:ascii="Arial" w:hAnsi="Arial" w:cs="Arial"/>
                <w:bCs/>
                <w:sz w:val="23"/>
              </w:rPr>
              <w:t>Work closely with colleagues on the University Research Management Systems (URMS) project to ensure any reviews align with the activity of the project team (e.g. change management)</w:t>
            </w:r>
          </w:p>
        </w:tc>
      </w:tr>
      <w:tr w:rsidR="00EA3116" w:rsidRPr="00083B74" w14:paraId="7649D9EF" w14:textId="77777777" w:rsidTr="00B4746A">
        <w:tc>
          <w:tcPr>
            <w:tcW w:w="8296" w:type="dxa"/>
            <w:gridSpan w:val="2"/>
          </w:tcPr>
          <w:p w14:paraId="2BD95B37" w14:textId="77777777" w:rsidR="00EA3116" w:rsidRPr="00083B74" w:rsidRDefault="00EA3116" w:rsidP="00EA3116">
            <w:pPr>
              <w:rPr>
                <w:rFonts w:ascii="Arial" w:hAnsi="Arial" w:cs="Arial"/>
                <w:sz w:val="23"/>
              </w:rPr>
            </w:pPr>
          </w:p>
          <w:p w14:paraId="4C8D1BBB" w14:textId="77777777" w:rsidR="00EA3116" w:rsidRPr="00083B74" w:rsidRDefault="00EA3116" w:rsidP="00EA3116">
            <w:pPr>
              <w:rPr>
                <w:rFonts w:ascii="Arial" w:hAnsi="Arial" w:cs="Arial"/>
                <w:sz w:val="23"/>
              </w:rPr>
            </w:pPr>
            <w:r w:rsidRPr="00083B74">
              <w:rPr>
                <w:rFonts w:ascii="Arial" w:hAnsi="Arial" w:cs="Arial"/>
                <w:sz w:val="23"/>
              </w:rPr>
              <w:t xml:space="preserve">You will from time to time be required to undertake other duties of a similar nature as reasonably required by your line manager. </w:t>
            </w:r>
            <w:r w:rsidRPr="00CC7A60">
              <w:rPr>
                <w:rFonts w:ascii="Arial" w:hAnsi="Arial" w:cs="Arial"/>
                <w:sz w:val="23"/>
              </w:rPr>
              <w:t xml:space="preserve">You are required to follow all University policies and procedures at all times and take account of University guidance. </w:t>
            </w:r>
          </w:p>
          <w:p w14:paraId="5C6DAB1A" w14:textId="77777777" w:rsidR="00EA3116" w:rsidRPr="00083B74" w:rsidRDefault="00EA3116" w:rsidP="00EA3116">
            <w:pPr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0A3AAFB2" w14:textId="77777777" w:rsidR="00A9491E" w:rsidRPr="00083B74" w:rsidRDefault="00A9491E" w:rsidP="00083B74">
      <w:pPr>
        <w:rPr>
          <w:rFonts w:ascii="Arial" w:hAnsi="Arial"/>
          <w:sz w:val="23"/>
        </w:rPr>
      </w:pPr>
    </w:p>
    <w:p w14:paraId="0872FB89" w14:textId="77777777" w:rsidR="00A9491E" w:rsidRPr="00083B74" w:rsidRDefault="00A9491E" w:rsidP="00083B74">
      <w:pPr>
        <w:rPr>
          <w:rFonts w:ascii="Arial" w:hAnsi="Arial"/>
          <w:sz w:val="23"/>
        </w:rPr>
        <w:sectPr w:rsidR="00A9491E" w:rsidRPr="00083B74" w:rsidSect="00AF24E6">
          <w:footerReference w:type="default" r:id="rId8"/>
          <w:pgSz w:w="11906" w:h="16838"/>
          <w:pgMar w:top="1224" w:right="1728" w:bottom="1008" w:left="1728" w:header="706" w:footer="706" w:gutter="0"/>
          <w:cols w:space="708"/>
          <w:docGrid w:linePitch="360"/>
        </w:sectPr>
      </w:pPr>
    </w:p>
    <w:p w14:paraId="3E286F44" w14:textId="6502551D" w:rsidR="00A9491E" w:rsidRPr="00083B74" w:rsidRDefault="00FA2B4B" w:rsidP="00083B74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lastRenderedPageBreak/>
        <w:drawing>
          <wp:inline distT="0" distB="0" distL="0" distR="0" wp14:anchorId="074C3F40" wp14:editId="5C3E81B1">
            <wp:extent cx="1428750" cy="5715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15BE5" w14:textId="77777777" w:rsidR="00A9491E" w:rsidRDefault="00A9491E" w:rsidP="00083B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166D">
        <w:rPr>
          <w:rFonts w:ascii="Arial" w:hAnsi="Arial" w:cs="Arial"/>
          <w:b/>
          <w:bCs/>
          <w:sz w:val="24"/>
          <w:szCs w:val="24"/>
        </w:rPr>
        <w:t>Person Specification</w:t>
      </w:r>
    </w:p>
    <w:p w14:paraId="566F3203" w14:textId="77777777" w:rsidR="00FB491F" w:rsidRDefault="00FB491F" w:rsidP="00083B74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5"/>
        <w:gridCol w:w="1409"/>
        <w:gridCol w:w="1376"/>
      </w:tblGrid>
      <w:tr w:rsidR="00FB491F" w:rsidRPr="005C6268" w14:paraId="3141F9C0" w14:textId="77777777" w:rsidTr="00CA166C">
        <w:tc>
          <w:tcPr>
            <w:tcW w:w="6275" w:type="dxa"/>
            <w:shd w:val="clear" w:color="auto" w:fill="DAEEF3"/>
          </w:tcPr>
          <w:p w14:paraId="02DE846C" w14:textId="77777777" w:rsidR="00FB491F" w:rsidRPr="005C6268" w:rsidRDefault="00FB491F" w:rsidP="00FB49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6268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409" w:type="dxa"/>
            <w:shd w:val="clear" w:color="auto" w:fill="DAEEF3"/>
          </w:tcPr>
          <w:p w14:paraId="2D8AC2DB" w14:textId="77777777" w:rsidR="00FB491F" w:rsidRPr="00AF24E6" w:rsidRDefault="00FB491F" w:rsidP="00FB49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24E6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376" w:type="dxa"/>
            <w:shd w:val="clear" w:color="auto" w:fill="DAEEF3"/>
          </w:tcPr>
          <w:p w14:paraId="3F621810" w14:textId="77777777" w:rsidR="00FB491F" w:rsidRPr="00AF24E6" w:rsidRDefault="00FB491F" w:rsidP="00FB49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24E6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7577E7" w:rsidRPr="005C6268" w14:paraId="0BCB3D60" w14:textId="77777777" w:rsidTr="00CA166C">
        <w:tc>
          <w:tcPr>
            <w:tcW w:w="6275" w:type="dxa"/>
            <w:shd w:val="clear" w:color="auto" w:fill="FFEAC1"/>
          </w:tcPr>
          <w:p w14:paraId="4B170FB8" w14:textId="77777777" w:rsidR="00FB491F" w:rsidRPr="005C6268" w:rsidRDefault="00FB491F" w:rsidP="00FB49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6268"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1409" w:type="dxa"/>
            <w:shd w:val="clear" w:color="auto" w:fill="FFEAC1"/>
          </w:tcPr>
          <w:p w14:paraId="4EC2DEEF" w14:textId="77777777" w:rsidR="00FB491F" w:rsidRPr="00AF24E6" w:rsidRDefault="00FB491F" w:rsidP="005C62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FFEAC1"/>
          </w:tcPr>
          <w:p w14:paraId="24EF4F8B" w14:textId="77777777" w:rsidR="00FB491F" w:rsidRPr="00AF24E6" w:rsidRDefault="00FB491F" w:rsidP="005C62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91F" w:rsidRPr="005C6268" w14:paraId="301EAB52" w14:textId="77777777" w:rsidTr="00377141">
        <w:trPr>
          <w:trHeight w:val="668"/>
        </w:trPr>
        <w:tc>
          <w:tcPr>
            <w:tcW w:w="6275" w:type="dxa"/>
            <w:shd w:val="clear" w:color="auto" w:fill="auto"/>
          </w:tcPr>
          <w:p w14:paraId="62D6C687" w14:textId="7F81B574" w:rsidR="00FB491F" w:rsidRPr="00377141" w:rsidRDefault="00377141" w:rsidP="00377141">
            <w:pPr>
              <w:rPr>
                <w:rFonts w:ascii="Arial" w:hAnsi="Arial" w:cs="Arial"/>
                <w:sz w:val="24"/>
                <w:szCs w:val="24"/>
              </w:rPr>
            </w:pPr>
            <w:r w:rsidRPr="00377141">
              <w:rPr>
                <w:rFonts w:ascii="Arial" w:hAnsi="Arial" w:cs="Arial"/>
                <w:sz w:val="24"/>
                <w:szCs w:val="24"/>
              </w:rPr>
              <w:t xml:space="preserve">Professional finance qualification </w:t>
            </w:r>
            <w:r w:rsidRPr="00377141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  <w:r w:rsidRPr="00377141">
              <w:rPr>
                <w:rFonts w:ascii="Arial" w:hAnsi="Arial" w:cs="Arial"/>
                <w:sz w:val="24"/>
                <w:szCs w:val="24"/>
              </w:rPr>
              <w:t xml:space="preserve"> equivalent experience</w:t>
            </w:r>
            <w:r w:rsidR="00931FCB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30CA4">
              <w:rPr>
                <w:rFonts w:ascii="Arial" w:hAnsi="Arial" w:cs="Arial"/>
                <w:sz w:val="24"/>
                <w:szCs w:val="24"/>
              </w:rPr>
              <w:t>this</w:t>
            </w:r>
            <w:r w:rsidR="007F59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1FCB">
              <w:rPr>
                <w:rFonts w:ascii="Arial" w:hAnsi="Arial" w:cs="Arial"/>
                <w:sz w:val="24"/>
                <w:szCs w:val="24"/>
              </w:rPr>
              <w:t>includ</w:t>
            </w:r>
            <w:r w:rsidR="007F59F4">
              <w:rPr>
                <w:rFonts w:ascii="Arial" w:hAnsi="Arial" w:cs="Arial"/>
                <w:sz w:val="24"/>
                <w:szCs w:val="24"/>
              </w:rPr>
              <w:t>e</w:t>
            </w:r>
            <w:r w:rsidR="00E30CA4">
              <w:rPr>
                <w:rFonts w:ascii="Arial" w:hAnsi="Arial" w:cs="Arial"/>
                <w:sz w:val="24"/>
                <w:szCs w:val="24"/>
              </w:rPr>
              <w:t>s</w:t>
            </w:r>
            <w:r w:rsidR="007F59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1FCB">
              <w:rPr>
                <w:rFonts w:ascii="Arial" w:hAnsi="Arial" w:cs="Arial"/>
                <w:sz w:val="24"/>
                <w:szCs w:val="24"/>
              </w:rPr>
              <w:t>time spent working at a UK Funder or UK HEI</w:t>
            </w:r>
            <w:r w:rsidR="007F59F4">
              <w:rPr>
                <w:rFonts w:ascii="Arial" w:hAnsi="Arial" w:cs="Arial"/>
                <w:sz w:val="24"/>
                <w:szCs w:val="24"/>
              </w:rPr>
              <w:t xml:space="preserve"> in a </w:t>
            </w:r>
            <w:r w:rsidR="001D7E95">
              <w:rPr>
                <w:rFonts w:ascii="Arial" w:hAnsi="Arial" w:cs="Arial"/>
                <w:sz w:val="24"/>
                <w:szCs w:val="24"/>
              </w:rPr>
              <w:t xml:space="preserve">directly </w:t>
            </w:r>
            <w:r w:rsidR="007F59F4">
              <w:rPr>
                <w:rFonts w:ascii="Arial" w:hAnsi="Arial" w:cs="Arial"/>
                <w:sz w:val="24"/>
                <w:szCs w:val="24"/>
              </w:rPr>
              <w:t>relevant role</w:t>
            </w:r>
            <w:r w:rsidRPr="0037714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09" w:type="dxa"/>
            <w:shd w:val="clear" w:color="auto" w:fill="auto"/>
          </w:tcPr>
          <w:p w14:paraId="053BF62A" w14:textId="3BFD7886" w:rsidR="00F00383" w:rsidRPr="00AF24E6" w:rsidRDefault="00E30CA4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376" w:type="dxa"/>
            <w:shd w:val="clear" w:color="auto" w:fill="auto"/>
          </w:tcPr>
          <w:p w14:paraId="685F6E7D" w14:textId="6BABE1AC" w:rsidR="00FB491F" w:rsidRPr="00AF24E6" w:rsidRDefault="00FB491F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77E7" w:rsidRPr="005C6268" w14:paraId="5032CFE1" w14:textId="77777777" w:rsidTr="00CA166C">
        <w:tc>
          <w:tcPr>
            <w:tcW w:w="6275" w:type="dxa"/>
            <w:shd w:val="clear" w:color="auto" w:fill="FFEAC1"/>
          </w:tcPr>
          <w:p w14:paraId="239F3093" w14:textId="77777777" w:rsidR="00FB491F" w:rsidRPr="005C6268" w:rsidRDefault="00FB491F" w:rsidP="008E37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6268">
              <w:rPr>
                <w:rFonts w:ascii="Arial" w:hAnsi="Arial" w:cs="Arial"/>
                <w:b/>
                <w:bCs/>
                <w:sz w:val="24"/>
                <w:szCs w:val="24"/>
              </w:rPr>
              <w:t>Experience/Knowledge</w:t>
            </w:r>
          </w:p>
        </w:tc>
        <w:tc>
          <w:tcPr>
            <w:tcW w:w="1409" w:type="dxa"/>
            <w:shd w:val="clear" w:color="auto" w:fill="FFEAC1"/>
          </w:tcPr>
          <w:p w14:paraId="2D172B54" w14:textId="77777777" w:rsidR="00FB491F" w:rsidRPr="00AF24E6" w:rsidRDefault="00FB491F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FFEAC1"/>
          </w:tcPr>
          <w:p w14:paraId="6CE60AA2" w14:textId="77777777" w:rsidR="00FB491F" w:rsidRPr="00AF24E6" w:rsidRDefault="00FB491F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6C" w:rsidRPr="005C6268" w14:paraId="30282633" w14:textId="77777777" w:rsidTr="00CA166C">
        <w:tc>
          <w:tcPr>
            <w:tcW w:w="6275" w:type="dxa"/>
            <w:shd w:val="clear" w:color="auto" w:fill="auto"/>
          </w:tcPr>
          <w:p w14:paraId="781C90AB" w14:textId="59011332" w:rsidR="00CA166C" w:rsidRPr="00CA166C" w:rsidRDefault="008826CA" w:rsidP="008E3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research finance in the UK Higher Education Sector</w:t>
            </w:r>
          </w:p>
        </w:tc>
        <w:tc>
          <w:tcPr>
            <w:tcW w:w="1409" w:type="dxa"/>
            <w:shd w:val="clear" w:color="auto" w:fill="auto"/>
          </w:tcPr>
          <w:p w14:paraId="7AE6E1C9" w14:textId="7325C564" w:rsidR="00CA166C" w:rsidRPr="00AF24E6" w:rsidRDefault="00377141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  <w:tc>
          <w:tcPr>
            <w:tcW w:w="1376" w:type="dxa"/>
            <w:shd w:val="clear" w:color="auto" w:fill="auto"/>
          </w:tcPr>
          <w:p w14:paraId="0670CAFE" w14:textId="77777777" w:rsidR="00CA166C" w:rsidRPr="00AF24E6" w:rsidRDefault="00CA166C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79" w:rsidRPr="005C6268" w14:paraId="57FC69AB" w14:textId="77777777" w:rsidTr="00CA166C">
        <w:tc>
          <w:tcPr>
            <w:tcW w:w="6275" w:type="dxa"/>
            <w:shd w:val="clear" w:color="auto" w:fill="auto"/>
          </w:tcPr>
          <w:p w14:paraId="1BA6F138" w14:textId="096EA063" w:rsidR="00F96A79" w:rsidRPr="00F96A79" w:rsidRDefault="00F96A79" w:rsidP="008E3735">
            <w:pPr>
              <w:rPr>
                <w:rFonts w:ascii="Arial" w:hAnsi="Arial" w:cs="Arial"/>
                <w:sz w:val="24"/>
                <w:szCs w:val="24"/>
              </w:rPr>
            </w:pPr>
            <w:r w:rsidRPr="00F96A79">
              <w:rPr>
                <w:rFonts w:ascii="Arial" w:hAnsi="Arial" w:cs="Arial"/>
                <w:sz w:val="24"/>
                <w:szCs w:val="24"/>
              </w:rPr>
              <w:t>Experience of interpreting and applying complex regulations and requirements related to research</w:t>
            </w:r>
          </w:p>
        </w:tc>
        <w:tc>
          <w:tcPr>
            <w:tcW w:w="1409" w:type="dxa"/>
            <w:shd w:val="clear" w:color="auto" w:fill="auto"/>
          </w:tcPr>
          <w:p w14:paraId="6E80B560" w14:textId="19A45140" w:rsidR="00F96A79" w:rsidRPr="00AF24E6" w:rsidRDefault="001C3BC9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  <w:tc>
          <w:tcPr>
            <w:tcW w:w="1376" w:type="dxa"/>
            <w:shd w:val="clear" w:color="auto" w:fill="auto"/>
          </w:tcPr>
          <w:p w14:paraId="5ABB2161" w14:textId="77777777" w:rsidR="00F96A79" w:rsidRPr="00AF24E6" w:rsidRDefault="00F96A79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A79" w:rsidRPr="005C6268" w14:paraId="10A08E6E" w14:textId="77777777" w:rsidTr="00CA166C">
        <w:tc>
          <w:tcPr>
            <w:tcW w:w="6275" w:type="dxa"/>
            <w:shd w:val="clear" w:color="auto" w:fill="auto"/>
          </w:tcPr>
          <w:p w14:paraId="70FD9FB2" w14:textId="2C4601D5" w:rsidR="00F96A79" w:rsidRPr="005E78BB" w:rsidRDefault="005E78BB" w:rsidP="008E3735">
            <w:pPr>
              <w:rPr>
                <w:rFonts w:ascii="Arial" w:hAnsi="Arial" w:cs="Arial"/>
                <w:sz w:val="24"/>
                <w:szCs w:val="24"/>
              </w:rPr>
            </w:pPr>
            <w:r w:rsidRPr="005E78BB">
              <w:rPr>
                <w:rFonts w:ascii="Arial" w:hAnsi="Arial" w:cs="Arial"/>
                <w:sz w:val="24"/>
                <w:szCs w:val="24"/>
              </w:rPr>
              <w:t>Demonstrable experience in financial analysis, costing, or research operations</w:t>
            </w:r>
          </w:p>
        </w:tc>
        <w:tc>
          <w:tcPr>
            <w:tcW w:w="1409" w:type="dxa"/>
            <w:shd w:val="clear" w:color="auto" w:fill="auto"/>
          </w:tcPr>
          <w:p w14:paraId="4CE47676" w14:textId="609786A6" w:rsidR="00F96A79" w:rsidRPr="00AF24E6" w:rsidRDefault="00F96A79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73A15E03" w14:textId="301569DE" w:rsidR="00F96A79" w:rsidRPr="00AF24E6" w:rsidRDefault="00BF06D1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C2469C" w:rsidRPr="005C6268" w14:paraId="7415953E" w14:textId="77777777" w:rsidTr="00CA166C">
        <w:tc>
          <w:tcPr>
            <w:tcW w:w="6275" w:type="dxa"/>
            <w:shd w:val="clear" w:color="auto" w:fill="auto"/>
          </w:tcPr>
          <w:p w14:paraId="20F935A4" w14:textId="76CF3EDB" w:rsidR="00C2469C" w:rsidRPr="005E78BB" w:rsidRDefault="00C2469C" w:rsidP="00C2469C">
            <w:pPr>
              <w:rPr>
                <w:rFonts w:ascii="Arial" w:hAnsi="Arial" w:cs="Arial"/>
                <w:sz w:val="24"/>
                <w:szCs w:val="24"/>
              </w:rPr>
            </w:pPr>
            <w:r w:rsidRPr="00C2469C">
              <w:rPr>
                <w:rFonts w:ascii="Arial" w:hAnsi="Arial" w:cs="Arial"/>
                <w:sz w:val="24"/>
                <w:szCs w:val="24"/>
              </w:rPr>
              <w:t>Experience of influencing and leading change</w:t>
            </w:r>
            <w:r w:rsidR="002A4DD0">
              <w:rPr>
                <w:rFonts w:ascii="Arial" w:hAnsi="Arial" w:cs="Arial"/>
                <w:sz w:val="24"/>
                <w:szCs w:val="24"/>
              </w:rPr>
              <w:t xml:space="preserve"> across large teams</w:t>
            </w:r>
          </w:p>
        </w:tc>
        <w:tc>
          <w:tcPr>
            <w:tcW w:w="1409" w:type="dxa"/>
            <w:shd w:val="clear" w:color="auto" w:fill="auto"/>
          </w:tcPr>
          <w:p w14:paraId="138B9372" w14:textId="2AE48A72" w:rsidR="00C2469C" w:rsidRPr="00AF24E6" w:rsidRDefault="001C3BC9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  <w:tc>
          <w:tcPr>
            <w:tcW w:w="1376" w:type="dxa"/>
            <w:shd w:val="clear" w:color="auto" w:fill="auto"/>
          </w:tcPr>
          <w:p w14:paraId="6CA43F19" w14:textId="77777777" w:rsidR="00C2469C" w:rsidRPr="00AF24E6" w:rsidRDefault="00C2469C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69C" w:rsidRPr="005C6268" w14:paraId="47DE2B15" w14:textId="77777777" w:rsidTr="00CA166C">
        <w:tc>
          <w:tcPr>
            <w:tcW w:w="6275" w:type="dxa"/>
            <w:shd w:val="clear" w:color="auto" w:fill="auto"/>
          </w:tcPr>
          <w:p w14:paraId="3EA70A01" w14:textId="7D1D1144" w:rsidR="00C2469C" w:rsidRPr="00C2469C" w:rsidRDefault="00C2469C" w:rsidP="00C2469C">
            <w:pPr>
              <w:rPr>
                <w:rFonts w:ascii="Arial" w:hAnsi="Arial" w:cs="Arial"/>
                <w:sz w:val="24"/>
                <w:szCs w:val="24"/>
              </w:rPr>
            </w:pPr>
            <w:r w:rsidRPr="00C2469C">
              <w:rPr>
                <w:rFonts w:ascii="Arial" w:hAnsi="Arial" w:cs="Arial"/>
                <w:sz w:val="24"/>
                <w:szCs w:val="24"/>
              </w:rPr>
              <w:t>Demonstra</w:t>
            </w:r>
            <w:r>
              <w:rPr>
                <w:rFonts w:ascii="Arial" w:hAnsi="Arial" w:cs="Arial"/>
                <w:sz w:val="24"/>
                <w:szCs w:val="24"/>
              </w:rPr>
              <w:t>ble</w:t>
            </w:r>
            <w:r w:rsidRPr="00C2469C">
              <w:rPr>
                <w:rFonts w:ascii="Arial" w:hAnsi="Arial" w:cs="Arial"/>
                <w:sz w:val="24"/>
                <w:szCs w:val="24"/>
              </w:rPr>
              <w:t xml:space="preserve"> experience of leading or contributing to system implementations </w:t>
            </w:r>
            <w:r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Pr="00C2469C">
              <w:rPr>
                <w:rFonts w:ascii="Arial" w:hAnsi="Arial" w:cs="Arial"/>
                <w:sz w:val="24"/>
                <w:szCs w:val="24"/>
              </w:rPr>
              <w:t>process redesign</w:t>
            </w:r>
          </w:p>
        </w:tc>
        <w:tc>
          <w:tcPr>
            <w:tcW w:w="1409" w:type="dxa"/>
            <w:shd w:val="clear" w:color="auto" w:fill="auto"/>
          </w:tcPr>
          <w:p w14:paraId="2937AD98" w14:textId="28804C24" w:rsidR="00C2469C" w:rsidRPr="00AF24E6" w:rsidRDefault="00993470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  <w:tc>
          <w:tcPr>
            <w:tcW w:w="1376" w:type="dxa"/>
            <w:shd w:val="clear" w:color="auto" w:fill="auto"/>
          </w:tcPr>
          <w:p w14:paraId="580B62E7" w14:textId="1A5ACD3D" w:rsidR="00C2469C" w:rsidRPr="00AF24E6" w:rsidRDefault="00C2469C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141" w:rsidRPr="005C6268" w14:paraId="7A8B910D" w14:textId="77777777" w:rsidTr="00CA166C">
        <w:tc>
          <w:tcPr>
            <w:tcW w:w="6275" w:type="dxa"/>
            <w:shd w:val="clear" w:color="auto" w:fill="auto"/>
          </w:tcPr>
          <w:p w14:paraId="0C3DE382" w14:textId="1B58CEE1" w:rsidR="00377141" w:rsidRPr="00C2469C" w:rsidRDefault="00377141" w:rsidP="00377141">
            <w:pPr>
              <w:rPr>
                <w:rFonts w:ascii="Arial" w:hAnsi="Arial" w:cs="Arial"/>
                <w:sz w:val="24"/>
                <w:szCs w:val="24"/>
              </w:rPr>
            </w:pPr>
            <w:r w:rsidRPr="00377141">
              <w:rPr>
                <w:rFonts w:ascii="Arial" w:hAnsi="Arial" w:cs="Arial"/>
                <w:sz w:val="24"/>
                <w:szCs w:val="24"/>
              </w:rPr>
              <w:t>Experience supporting audit processes or responding to audit findings</w:t>
            </w:r>
          </w:p>
        </w:tc>
        <w:tc>
          <w:tcPr>
            <w:tcW w:w="1409" w:type="dxa"/>
            <w:shd w:val="clear" w:color="auto" w:fill="auto"/>
          </w:tcPr>
          <w:p w14:paraId="3D4D9AD7" w14:textId="0B26A307" w:rsidR="00377141" w:rsidRPr="00AF24E6" w:rsidRDefault="00377141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6539EED0" w14:textId="64490328" w:rsidR="00377141" w:rsidRPr="00AF24E6" w:rsidRDefault="00BF06D1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1C3BC9" w:rsidRPr="005C6268" w14:paraId="3925F90F" w14:textId="77777777" w:rsidTr="00CA166C">
        <w:tc>
          <w:tcPr>
            <w:tcW w:w="6275" w:type="dxa"/>
            <w:shd w:val="clear" w:color="auto" w:fill="auto"/>
          </w:tcPr>
          <w:p w14:paraId="15BF8224" w14:textId="70C72C06" w:rsidR="001C3BC9" w:rsidRPr="00377141" w:rsidRDefault="001C3BC9" w:rsidP="001C3BC9">
            <w:pPr>
              <w:rPr>
                <w:rFonts w:ascii="Arial" w:hAnsi="Arial" w:cs="Arial"/>
                <w:sz w:val="24"/>
                <w:szCs w:val="24"/>
              </w:rPr>
            </w:pPr>
            <w:r w:rsidRPr="001C3BC9">
              <w:rPr>
                <w:rFonts w:ascii="Arial" w:hAnsi="Arial" w:cs="Arial"/>
                <w:sz w:val="24"/>
                <w:szCs w:val="24"/>
              </w:rPr>
              <w:t>Experience of building capability within teams during periods of change</w:t>
            </w:r>
          </w:p>
        </w:tc>
        <w:tc>
          <w:tcPr>
            <w:tcW w:w="1409" w:type="dxa"/>
            <w:shd w:val="clear" w:color="auto" w:fill="auto"/>
          </w:tcPr>
          <w:p w14:paraId="6EF05E77" w14:textId="51B14F0C" w:rsidR="001C3BC9" w:rsidRPr="00AF24E6" w:rsidRDefault="00993470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  <w:tc>
          <w:tcPr>
            <w:tcW w:w="1376" w:type="dxa"/>
            <w:shd w:val="clear" w:color="auto" w:fill="auto"/>
          </w:tcPr>
          <w:p w14:paraId="1664EEB3" w14:textId="5130A185" w:rsidR="001C3BC9" w:rsidRPr="00AF24E6" w:rsidRDefault="001C3BC9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538" w:rsidRPr="005C6268" w14:paraId="25948558" w14:textId="77777777" w:rsidTr="00CA166C">
        <w:tc>
          <w:tcPr>
            <w:tcW w:w="6275" w:type="dxa"/>
            <w:shd w:val="clear" w:color="auto" w:fill="auto"/>
          </w:tcPr>
          <w:p w14:paraId="57DCEE15" w14:textId="58DC8217" w:rsidR="00B51538" w:rsidRPr="001C3BC9" w:rsidRDefault="00B51538" w:rsidP="001C3B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using a research management system (preferably Worktribe)</w:t>
            </w:r>
          </w:p>
        </w:tc>
        <w:tc>
          <w:tcPr>
            <w:tcW w:w="1409" w:type="dxa"/>
            <w:shd w:val="clear" w:color="auto" w:fill="auto"/>
          </w:tcPr>
          <w:p w14:paraId="51A671DF" w14:textId="1EA36338" w:rsidR="00B51538" w:rsidRPr="00AF24E6" w:rsidRDefault="00B51538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  <w:tc>
          <w:tcPr>
            <w:tcW w:w="1376" w:type="dxa"/>
            <w:shd w:val="clear" w:color="auto" w:fill="auto"/>
          </w:tcPr>
          <w:p w14:paraId="796B5478" w14:textId="77777777" w:rsidR="00B51538" w:rsidRPr="00AF24E6" w:rsidRDefault="00B51538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C05" w:rsidRPr="005C6268" w14:paraId="1051EBB9" w14:textId="77777777" w:rsidTr="00CA166C">
        <w:tc>
          <w:tcPr>
            <w:tcW w:w="6275" w:type="dxa"/>
            <w:shd w:val="clear" w:color="auto" w:fill="auto"/>
          </w:tcPr>
          <w:p w14:paraId="3225B869" w14:textId="2DC03A61" w:rsidR="000B5C05" w:rsidRPr="001C3BC9" w:rsidRDefault="000B5C05" w:rsidP="001C3B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leadership </w:t>
            </w:r>
            <w:r w:rsidRPr="000B5C05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hAnsi="Arial" w:cs="Arial"/>
                <w:sz w:val="24"/>
                <w:szCs w:val="24"/>
              </w:rPr>
              <w:t xml:space="preserve"> line management</w:t>
            </w:r>
          </w:p>
        </w:tc>
        <w:tc>
          <w:tcPr>
            <w:tcW w:w="1409" w:type="dxa"/>
            <w:shd w:val="clear" w:color="auto" w:fill="auto"/>
          </w:tcPr>
          <w:p w14:paraId="6C205C39" w14:textId="1C377E99" w:rsidR="000B5C05" w:rsidRPr="00AF24E6" w:rsidRDefault="000B5C05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  <w:tc>
          <w:tcPr>
            <w:tcW w:w="1376" w:type="dxa"/>
            <w:shd w:val="clear" w:color="auto" w:fill="auto"/>
          </w:tcPr>
          <w:p w14:paraId="307EECDF" w14:textId="77777777" w:rsidR="000B5C05" w:rsidRPr="00AF24E6" w:rsidRDefault="000B5C05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91F" w:rsidRPr="005C6268" w14:paraId="4AB81B36" w14:textId="77777777" w:rsidTr="00CA166C">
        <w:tc>
          <w:tcPr>
            <w:tcW w:w="6275" w:type="dxa"/>
            <w:shd w:val="clear" w:color="auto" w:fill="FFEAC1"/>
          </w:tcPr>
          <w:p w14:paraId="61E1CA5A" w14:textId="4842B48E" w:rsidR="00FB491F" w:rsidRPr="005C6268" w:rsidRDefault="00FB491F" w:rsidP="008E37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6268"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  <w:r w:rsidR="00931FCB">
              <w:rPr>
                <w:rFonts w:ascii="Arial" w:hAnsi="Arial" w:cs="Arial"/>
                <w:b/>
                <w:bCs/>
                <w:sz w:val="24"/>
                <w:szCs w:val="24"/>
              </w:rPr>
              <w:t>/Attributes</w:t>
            </w:r>
          </w:p>
        </w:tc>
        <w:tc>
          <w:tcPr>
            <w:tcW w:w="1409" w:type="dxa"/>
            <w:shd w:val="clear" w:color="auto" w:fill="FFEAC1"/>
          </w:tcPr>
          <w:p w14:paraId="2E1CC666" w14:textId="77777777" w:rsidR="00FB491F" w:rsidRPr="00AF24E6" w:rsidRDefault="00FB491F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FFEAC1"/>
          </w:tcPr>
          <w:p w14:paraId="20F3F985" w14:textId="77777777" w:rsidR="00FB491F" w:rsidRPr="00AF24E6" w:rsidRDefault="00FB491F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91F" w:rsidRPr="005C6268" w14:paraId="4C51A1ED" w14:textId="77777777" w:rsidTr="00CA166C">
        <w:tc>
          <w:tcPr>
            <w:tcW w:w="6275" w:type="dxa"/>
            <w:shd w:val="clear" w:color="auto" w:fill="auto"/>
          </w:tcPr>
          <w:p w14:paraId="73118E6A" w14:textId="580F4A9A" w:rsidR="00FB491F" w:rsidRPr="008826CA" w:rsidRDefault="008826CA" w:rsidP="008826CA">
            <w:pPr>
              <w:rPr>
                <w:rFonts w:ascii="Arial" w:hAnsi="Arial" w:cs="Arial"/>
                <w:sz w:val="24"/>
                <w:szCs w:val="24"/>
              </w:rPr>
            </w:pPr>
            <w:r w:rsidRPr="008826CA">
              <w:rPr>
                <w:rFonts w:ascii="Arial" w:hAnsi="Arial" w:cs="Arial"/>
                <w:sz w:val="24"/>
                <w:szCs w:val="24"/>
              </w:rPr>
              <w:t>Strong analytical and problem-solving skills</w:t>
            </w:r>
          </w:p>
        </w:tc>
        <w:tc>
          <w:tcPr>
            <w:tcW w:w="1409" w:type="dxa"/>
            <w:shd w:val="clear" w:color="auto" w:fill="auto"/>
          </w:tcPr>
          <w:p w14:paraId="03917B43" w14:textId="1BE33BBE" w:rsidR="00FB491F" w:rsidRPr="00AF24E6" w:rsidRDefault="001C3BC9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  <w:tc>
          <w:tcPr>
            <w:tcW w:w="1376" w:type="dxa"/>
            <w:shd w:val="clear" w:color="auto" w:fill="auto"/>
          </w:tcPr>
          <w:p w14:paraId="7F326B77" w14:textId="77777777" w:rsidR="00FB491F" w:rsidRPr="00AF24E6" w:rsidRDefault="00FB491F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26CA" w:rsidRPr="005C6268" w14:paraId="1DCE57E7" w14:textId="77777777" w:rsidTr="00CA166C">
        <w:tc>
          <w:tcPr>
            <w:tcW w:w="6275" w:type="dxa"/>
            <w:shd w:val="clear" w:color="auto" w:fill="auto"/>
          </w:tcPr>
          <w:p w14:paraId="0270200A" w14:textId="3B7DAAB4" w:rsidR="008826CA" w:rsidRPr="00E3016E" w:rsidRDefault="00B81844" w:rsidP="008826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written and verbal</w:t>
            </w:r>
            <w:r w:rsidR="00C2607F" w:rsidRPr="00E3016E">
              <w:rPr>
                <w:rFonts w:ascii="Arial" w:hAnsi="Arial" w:cs="Arial"/>
                <w:sz w:val="24"/>
                <w:szCs w:val="24"/>
              </w:rPr>
              <w:t xml:space="preserve"> communication and interpersonal skills</w:t>
            </w:r>
          </w:p>
        </w:tc>
        <w:tc>
          <w:tcPr>
            <w:tcW w:w="1409" w:type="dxa"/>
            <w:shd w:val="clear" w:color="auto" w:fill="auto"/>
          </w:tcPr>
          <w:p w14:paraId="2289C1F4" w14:textId="2D893A7A" w:rsidR="008826CA" w:rsidRPr="00AF24E6" w:rsidRDefault="001C3BC9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  <w:tc>
          <w:tcPr>
            <w:tcW w:w="1376" w:type="dxa"/>
            <w:shd w:val="clear" w:color="auto" w:fill="auto"/>
          </w:tcPr>
          <w:p w14:paraId="19E26877" w14:textId="77777777" w:rsidR="008826CA" w:rsidRPr="00AF24E6" w:rsidRDefault="008826CA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07F" w:rsidRPr="005C6268" w14:paraId="585765C2" w14:textId="77777777" w:rsidTr="00CA166C">
        <w:tc>
          <w:tcPr>
            <w:tcW w:w="6275" w:type="dxa"/>
            <w:shd w:val="clear" w:color="auto" w:fill="auto"/>
          </w:tcPr>
          <w:p w14:paraId="5E57A2E5" w14:textId="304AAEB3" w:rsidR="00C2607F" w:rsidRPr="00E3016E" w:rsidRDefault="00642DEE" w:rsidP="008826CA">
            <w:pPr>
              <w:rPr>
                <w:rFonts w:ascii="Arial" w:hAnsi="Arial" w:cs="Arial"/>
                <w:sz w:val="24"/>
                <w:szCs w:val="24"/>
              </w:rPr>
            </w:pPr>
            <w:r w:rsidRPr="00E3016E">
              <w:rPr>
                <w:rFonts w:ascii="Arial" w:hAnsi="Arial" w:cs="Arial"/>
                <w:sz w:val="24"/>
                <w:szCs w:val="24"/>
              </w:rPr>
              <w:t>Ability to work independently with a high degree of integrity and initiative</w:t>
            </w:r>
          </w:p>
        </w:tc>
        <w:tc>
          <w:tcPr>
            <w:tcW w:w="1409" w:type="dxa"/>
            <w:shd w:val="clear" w:color="auto" w:fill="auto"/>
          </w:tcPr>
          <w:p w14:paraId="631119DC" w14:textId="0D0136EE" w:rsidR="00C2607F" w:rsidRPr="00AF24E6" w:rsidRDefault="001C3BC9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  <w:tc>
          <w:tcPr>
            <w:tcW w:w="1376" w:type="dxa"/>
            <w:shd w:val="clear" w:color="auto" w:fill="auto"/>
          </w:tcPr>
          <w:p w14:paraId="2219F1A1" w14:textId="77777777" w:rsidR="00C2607F" w:rsidRPr="00AF24E6" w:rsidRDefault="00C2607F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C05" w:rsidRPr="005C6268" w14:paraId="52B80CE0" w14:textId="77777777" w:rsidTr="00CA166C">
        <w:tc>
          <w:tcPr>
            <w:tcW w:w="6275" w:type="dxa"/>
            <w:shd w:val="clear" w:color="auto" w:fill="auto"/>
          </w:tcPr>
          <w:p w14:paraId="7432779B" w14:textId="589EE0F4" w:rsidR="000B5C05" w:rsidRPr="00E3016E" w:rsidRDefault="00BB57D4" w:rsidP="008826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Strong skills in keeping accurate records and documentation</w:t>
            </w:r>
          </w:p>
        </w:tc>
        <w:tc>
          <w:tcPr>
            <w:tcW w:w="1409" w:type="dxa"/>
            <w:shd w:val="clear" w:color="auto" w:fill="auto"/>
          </w:tcPr>
          <w:p w14:paraId="4F2369AC" w14:textId="3049FD9E" w:rsidR="000B5C05" w:rsidRPr="00AF24E6" w:rsidRDefault="00BB57D4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  <w:tc>
          <w:tcPr>
            <w:tcW w:w="1376" w:type="dxa"/>
            <w:shd w:val="clear" w:color="auto" w:fill="auto"/>
          </w:tcPr>
          <w:p w14:paraId="1C99C8C6" w14:textId="77777777" w:rsidR="000B5C05" w:rsidRPr="00AF24E6" w:rsidRDefault="000B5C05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DEE" w:rsidRPr="005C6268" w14:paraId="5F55571B" w14:textId="77777777" w:rsidTr="00E3016E">
        <w:trPr>
          <w:trHeight w:val="65"/>
        </w:trPr>
        <w:tc>
          <w:tcPr>
            <w:tcW w:w="6275" w:type="dxa"/>
            <w:shd w:val="clear" w:color="auto" w:fill="auto"/>
          </w:tcPr>
          <w:p w14:paraId="13B45D2F" w14:textId="0F192898" w:rsidR="00642DEE" w:rsidRPr="00E3016E" w:rsidRDefault="0047615A" w:rsidP="008826CA">
            <w:pPr>
              <w:rPr>
                <w:rFonts w:ascii="Arial" w:hAnsi="Arial" w:cs="Arial"/>
                <w:sz w:val="24"/>
                <w:szCs w:val="24"/>
              </w:rPr>
            </w:pPr>
            <w:r w:rsidRPr="00E3016E">
              <w:rPr>
                <w:rFonts w:ascii="Arial" w:hAnsi="Arial" w:cs="Arial"/>
                <w:sz w:val="24"/>
                <w:szCs w:val="24"/>
              </w:rPr>
              <w:t>Ability to think strategically and consider the ‘bigger picture’ when making decisions</w:t>
            </w:r>
          </w:p>
        </w:tc>
        <w:tc>
          <w:tcPr>
            <w:tcW w:w="1409" w:type="dxa"/>
            <w:shd w:val="clear" w:color="auto" w:fill="auto"/>
          </w:tcPr>
          <w:p w14:paraId="09677CEA" w14:textId="556FA391" w:rsidR="00642DEE" w:rsidRPr="00AF24E6" w:rsidRDefault="001C3BC9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  <w:tc>
          <w:tcPr>
            <w:tcW w:w="1376" w:type="dxa"/>
            <w:shd w:val="clear" w:color="auto" w:fill="auto"/>
          </w:tcPr>
          <w:p w14:paraId="622FD042" w14:textId="77777777" w:rsidR="00642DEE" w:rsidRPr="00AF24E6" w:rsidRDefault="00642DEE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15A" w:rsidRPr="005C6268" w14:paraId="0BD5128A" w14:textId="77777777" w:rsidTr="00CA166C">
        <w:tc>
          <w:tcPr>
            <w:tcW w:w="6275" w:type="dxa"/>
            <w:shd w:val="clear" w:color="auto" w:fill="auto"/>
          </w:tcPr>
          <w:p w14:paraId="5E162076" w14:textId="453DB235" w:rsidR="0047615A" w:rsidRPr="00E3016E" w:rsidRDefault="00BB74F4" w:rsidP="008826CA">
            <w:pPr>
              <w:rPr>
                <w:rFonts w:ascii="Arial" w:hAnsi="Arial" w:cs="Arial"/>
                <w:sz w:val="24"/>
                <w:szCs w:val="24"/>
              </w:rPr>
            </w:pPr>
            <w:r w:rsidRPr="00BB74F4">
              <w:rPr>
                <w:rFonts w:ascii="Arial" w:hAnsi="Arial" w:cs="Arial"/>
                <w:sz w:val="24"/>
                <w:szCs w:val="24"/>
              </w:rPr>
              <w:t>Ability to leverage digital tools, data and automation (e.g. PowerBI, Co</w:t>
            </w:r>
            <w:r w:rsidRPr="00BB74F4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BB74F4">
              <w:rPr>
                <w:rFonts w:ascii="Arial" w:hAnsi="Arial" w:cs="Arial"/>
                <w:sz w:val="24"/>
                <w:szCs w:val="24"/>
              </w:rPr>
              <w:t>pilot) to support insight, decision</w:t>
            </w:r>
            <w:r w:rsidRPr="00BB74F4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BB74F4">
              <w:rPr>
                <w:rFonts w:ascii="Arial" w:hAnsi="Arial" w:cs="Arial"/>
                <w:sz w:val="24"/>
                <w:szCs w:val="24"/>
              </w:rPr>
              <w:t>making and service improvement</w:t>
            </w:r>
          </w:p>
        </w:tc>
        <w:tc>
          <w:tcPr>
            <w:tcW w:w="1409" w:type="dxa"/>
            <w:shd w:val="clear" w:color="auto" w:fill="auto"/>
          </w:tcPr>
          <w:p w14:paraId="11E82856" w14:textId="04A35725" w:rsidR="0047615A" w:rsidRPr="00AF24E6" w:rsidRDefault="001C3BC9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  <w:tc>
          <w:tcPr>
            <w:tcW w:w="1376" w:type="dxa"/>
            <w:shd w:val="clear" w:color="auto" w:fill="auto"/>
          </w:tcPr>
          <w:p w14:paraId="12601A13" w14:textId="77777777" w:rsidR="0047615A" w:rsidRPr="00AF24E6" w:rsidRDefault="0047615A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844" w:rsidRPr="005C6268" w14:paraId="7F31C9DA" w14:textId="77777777" w:rsidTr="00CA166C">
        <w:tc>
          <w:tcPr>
            <w:tcW w:w="6275" w:type="dxa"/>
            <w:shd w:val="clear" w:color="auto" w:fill="auto"/>
          </w:tcPr>
          <w:p w14:paraId="43F97C86" w14:textId="34199E1E" w:rsidR="00B81844" w:rsidRPr="00B81844" w:rsidRDefault="00B81844" w:rsidP="008826CA">
            <w:pPr>
              <w:rPr>
                <w:rFonts w:ascii="Arial" w:hAnsi="Arial" w:cs="Arial"/>
                <w:sz w:val="24"/>
                <w:szCs w:val="24"/>
              </w:rPr>
            </w:pPr>
            <w:r w:rsidRPr="00B81844">
              <w:rPr>
                <w:rFonts w:ascii="Arial" w:hAnsi="Arial" w:cs="Arial"/>
                <w:sz w:val="24"/>
                <w:szCs w:val="24"/>
              </w:rPr>
              <w:t>Confidence in your own ability to critically assess current processes and make suggestions for change</w:t>
            </w:r>
          </w:p>
        </w:tc>
        <w:tc>
          <w:tcPr>
            <w:tcW w:w="1409" w:type="dxa"/>
            <w:shd w:val="clear" w:color="auto" w:fill="auto"/>
          </w:tcPr>
          <w:p w14:paraId="552B0888" w14:textId="69E02517" w:rsidR="00B81844" w:rsidRPr="00AF24E6" w:rsidRDefault="00B81844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  <w:tc>
          <w:tcPr>
            <w:tcW w:w="1376" w:type="dxa"/>
            <w:shd w:val="clear" w:color="auto" w:fill="auto"/>
          </w:tcPr>
          <w:p w14:paraId="6EF319CD" w14:textId="77777777" w:rsidR="00B81844" w:rsidRPr="00AF24E6" w:rsidRDefault="00B81844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994" w:rsidRPr="005C6268" w14:paraId="67CD9392" w14:textId="77777777" w:rsidTr="00CA166C">
        <w:tc>
          <w:tcPr>
            <w:tcW w:w="6275" w:type="dxa"/>
            <w:shd w:val="clear" w:color="auto" w:fill="auto"/>
          </w:tcPr>
          <w:p w14:paraId="4E8A7D3C" w14:textId="690086BB" w:rsidR="00787994" w:rsidRPr="00B81844" w:rsidRDefault="00787994" w:rsidP="008826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have difficult conversations with sensitivity and self-awareness</w:t>
            </w:r>
          </w:p>
        </w:tc>
        <w:tc>
          <w:tcPr>
            <w:tcW w:w="1409" w:type="dxa"/>
            <w:shd w:val="clear" w:color="auto" w:fill="auto"/>
          </w:tcPr>
          <w:p w14:paraId="31F33E17" w14:textId="06163E07" w:rsidR="00787994" w:rsidRPr="00AF24E6" w:rsidRDefault="00BB57D4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4E6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  <w:tc>
          <w:tcPr>
            <w:tcW w:w="1376" w:type="dxa"/>
            <w:shd w:val="clear" w:color="auto" w:fill="auto"/>
          </w:tcPr>
          <w:p w14:paraId="5BA1C348" w14:textId="77777777" w:rsidR="00787994" w:rsidRPr="00AF24E6" w:rsidRDefault="00787994" w:rsidP="00377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B0CAE0" w14:textId="77777777" w:rsidR="00FB491F" w:rsidRPr="000C166D" w:rsidRDefault="00FB491F" w:rsidP="00083B7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63D095" w14:textId="77777777" w:rsidR="00083B74" w:rsidRPr="00083B74" w:rsidRDefault="00083B74" w:rsidP="00083B74">
      <w:pPr>
        <w:jc w:val="center"/>
        <w:rPr>
          <w:rFonts w:ascii="Arial" w:hAnsi="Arial" w:cs="Arial"/>
          <w:b/>
          <w:bCs/>
          <w:sz w:val="23"/>
          <w:szCs w:val="28"/>
        </w:rPr>
      </w:pPr>
    </w:p>
    <w:p w14:paraId="3F45E2D5" w14:textId="77777777" w:rsidR="00083B74" w:rsidRPr="00083B74" w:rsidRDefault="00083B74" w:rsidP="00083B74">
      <w:pPr>
        <w:rPr>
          <w:rFonts w:ascii="Arial" w:hAnsi="Arial" w:cs="Arial"/>
          <w:sz w:val="23"/>
          <w:szCs w:val="22"/>
        </w:rPr>
      </w:pPr>
    </w:p>
    <w:p w14:paraId="771BE536" w14:textId="77777777" w:rsidR="00083B74" w:rsidRPr="00083B74" w:rsidRDefault="00083B74" w:rsidP="00083B74">
      <w:pPr>
        <w:rPr>
          <w:rFonts w:ascii="Arial" w:hAnsi="Arial"/>
          <w:sz w:val="24"/>
        </w:rPr>
      </w:pPr>
    </w:p>
    <w:sectPr w:rsidR="00083B74" w:rsidRPr="00083B74" w:rsidSect="00FE3731">
      <w:headerReference w:type="default" r:id="rId9"/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4798" w14:textId="77777777" w:rsidR="00637189" w:rsidRDefault="00637189">
      <w:r>
        <w:separator/>
      </w:r>
    </w:p>
  </w:endnote>
  <w:endnote w:type="continuationSeparator" w:id="0">
    <w:p w14:paraId="47F23B88" w14:textId="77777777" w:rsidR="00637189" w:rsidRDefault="0063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65FD" w14:textId="77777777" w:rsidR="00160AE4" w:rsidRPr="00CA4D1C" w:rsidRDefault="00160AE4" w:rsidP="008E260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1F0A0F">
      <w:rPr>
        <w:rFonts w:ascii="Arial" w:hAnsi="Arial" w:cs="Arial"/>
        <w:noProof/>
      </w:rPr>
      <w:t>1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4833" w14:textId="77777777" w:rsidR="00160AE4" w:rsidRPr="009C096B" w:rsidRDefault="00160AE4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0873" w14:textId="77777777" w:rsidR="00637189" w:rsidRDefault="00637189">
      <w:r>
        <w:separator/>
      </w:r>
    </w:p>
  </w:footnote>
  <w:footnote w:type="continuationSeparator" w:id="0">
    <w:p w14:paraId="4AE8AE5E" w14:textId="77777777" w:rsidR="00637189" w:rsidRDefault="00637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A289" w14:textId="77777777" w:rsidR="00160AE4" w:rsidRPr="00CC7A60" w:rsidRDefault="00160AE4" w:rsidP="00CC7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402D3"/>
    <w:multiLevelType w:val="hybridMultilevel"/>
    <w:tmpl w:val="0C8A4D4A"/>
    <w:lvl w:ilvl="0" w:tplc="3DF439D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47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40B67"/>
    <w:rsid w:val="0008087A"/>
    <w:rsid w:val="00083B74"/>
    <w:rsid w:val="000B565B"/>
    <w:rsid w:val="000B5C05"/>
    <w:rsid w:val="000C166D"/>
    <w:rsid w:val="000C2BB3"/>
    <w:rsid w:val="000E22B1"/>
    <w:rsid w:val="000F18CA"/>
    <w:rsid w:val="0015451D"/>
    <w:rsid w:val="00160AE4"/>
    <w:rsid w:val="0018205D"/>
    <w:rsid w:val="00187B43"/>
    <w:rsid w:val="001C3BC9"/>
    <w:rsid w:val="001D7E95"/>
    <w:rsid w:val="001E56CC"/>
    <w:rsid w:val="001E5A5B"/>
    <w:rsid w:val="001F0A0F"/>
    <w:rsid w:val="00202CED"/>
    <w:rsid w:val="0020594B"/>
    <w:rsid w:val="00216CEE"/>
    <w:rsid w:val="002260AC"/>
    <w:rsid w:val="00240B0B"/>
    <w:rsid w:val="00295D65"/>
    <w:rsid w:val="002A2034"/>
    <w:rsid w:val="002A4DD0"/>
    <w:rsid w:val="002B7774"/>
    <w:rsid w:val="002E1503"/>
    <w:rsid w:val="002F2646"/>
    <w:rsid w:val="00315D1E"/>
    <w:rsid w:val="0034501E"/>
    <w:rsid w:val="00366919"/>
    <w:rsid w:val="003708F6"/>
    <w:rsid w:val="00377141"/>
    <w:rsid w:val="00387C1A"/>
    <w:rsid w:val="003A77DC"/>
    <w:rsid w:val="003F0ADC"/>
    <w:rsid w:val="003F241A"/>
    <w:rsid w:val="00403528"/>
    <w:rsid w:val="0041512D"/>
    <w:rsid w:val="00456C60"/>
    <w:rsid w:val="00464D6E"/>
    <w:rsid w:val="00470E63"/>
    <w:rsid w:val="0047615A"/>
    <w:rsid w:val="004A027C"/>
    <w:rsid w:val="004B1C8B"/>
    <w:rsid w:val="004C14B6"/>
    <w:rsid w:val="004D54D3"/>
    <w:rsid w:val="0053615E"/>
    <w:rsid w:val="00540424"/>
    <w:rsid w:val="0055142D"/>
    <w:rsid w:val="00557E4E"/>
    <w:rsid w:val="00565E8A"/>
    <w:rsid w:val="005A6145"/>
    <w:rsid w:val="005C6268"/>
    <w:rsid w:val="005E78BB"/>
    <w:rsid w:val="005F0EA8"/>
    <w:rsid w:val="005F50A4"/>
    <w:rsid w:val="00600E35"/>
    <w:rsid w:val="006121F0"/>
    <w:rsid w:val="0061313A"/>
    <w:rsid w:val="006340F4"/>
    <w:rsid w:val="00637189"/>
    <w:rsid w:val="00642DEE"/>
    <w:rsid w:val="0064345E"/>
    <w:rsid w:val="00671DC7"/>
    <w:rsid w:val="006D7D9D"/>
    <w:rsid w:val="00700462"/>
    <w:rsid w:val="00722CD7"/>
    <w:rsid w:val="0073066C"/>
    <w:rsid w:val="00737DA8"/>
    <w:rsid w:val="007577E7"/>
    <w:rsid w:val="00787994"/>
    <w:rsid w:val="00794FC7"/>
    <w:rsid w:val="007B4CD7"/>
    <w:rsid w:val="007C5F5C"/>
    <w:rsid w:val="007C69B4"/>
    <w:rsid w:val="007F59F4"/>
    <w:rsid w:val="00822DDD"/>
    <w:rsid w:val="008534ED"/>
    <w:rsid w:val="00855632"/>
    <w:rsid w:val="008826CA"/>
    <w:rsid w:val="008E2602"/>
    <w:rsid w:val="008E3735"/>
    <w:rsid w:val="008F14B3"/>
    <w:rsid w:val="00906293"/>
    <w:rsid w:val="009074A1"/>
    <w:rsid w:val="00922546"/>
    <w:rsid w:val="00931FCB"/>
    <w:rsid w:val="00936237"/>
    <w:rsid w:val="00962C31"/>
    <w:rsid w:val="00966E89"/>
    <w:rsid w:val="00993470"/>
    <w:rsid w:val="009A3E6B"/>
    <w:rsid w:val="009A7CBB"/>
    <w:rsid w:val="009B200D"/>
    <w:rsid w:val="009B6948"/>
    <w:rsid w:val="009E7CAA"/>
    <w:rsid w:val="00A12AC3"/>
    <w:rsid w:val="00A162A4"/>
    <w:rsid w:val="00A21D2F"/>
    <w:rsid w:val="00A248B0"/>
    <w:rsid w:val="00A47E12"/>
    <w:rsid w:val="00A54B04"/>
    <w:rsid w:val="00A625EC"/>
    <w:rsid w:val="00A8754E"/>
    <w:rsid w:val="00A9491E"/>
    <w:rsid w:val="00A95C45"/>
    <w:rsid w:val="00A95CFC"/>
    <w:rsid w:val="00AC598A"/>
    <w:rsid w:val="00AF24E6"/>
    <w:rsid w:val="00B17B02"/>
    <w:rsid w:val="00B4746A"/>
    <w:rsid w:val="00B475A2"/>
    <w:rsid w:val="00B51538"/>
    <w:rsid w:val="00B52123"/>
    <w:rsid w:val="00B67BE6"/>
    <w:rsid w:val="00B81844"/>
    <w:rsid w:val="00B81C52"/>
    <w:rsid w:val="00B86BB1"/>
    <w:rsid w:val="00BB57D4"/>
    <w:rsid w:val="00BB74F4"/>
    <w:rsid w:val="00BC47C4"/>
    <w:rsid w:val="00BF06D1"/>
    <w:rsid w:val="00C2469C"/>
    <w:rsid w:val="00C2607F"/>
    <w:rsid w:val="00C40143"/>
    <w:rsid w:val="00C84497"/>
    <w:rsid w:val="00CA166C"/>
    <w:rsid w:val="00CA4D1C"/>
    <w:rsid w:val="00CA4D1E"/>
    <w:rsid w:val="00CB6346"/>
    <w:rsid w:val="00CC7A60"/>
    <w:rsid w:val="00CF0FF3"/>
    <w:rsid w:val="00D4342E"/>
    <w:rsid w:val="00D54A24"/>
    <w:rsid w:val="00DB2B89"/>
    <w:rsid w:val="00DF0AD7"/>
    <w:rsid w:val="00DF33C9"/>
    <w:rsid w:val="00E16332"/>
    <w:rsid w:val="00E221FB"/>
    <w:rsid w:val="00E3016E"/>
    <w:rsid w:val="00E30CA4"/>
    <w:rsid w:val="00E93CCB"/>
    <w:rsid w:val="00EA3116"/>
    <w:rsid w:val="00EC424E"/>
    <w:rsid w:val="00ED4B5E"/>
    <w:rsid w:val="00EE5DC0"/>
    <w:rsid w:val="00F00383"/>
    <w:rsid w:val="00F066CF"/>
    <w:rsid w:val="00F10B90"/>
    <w:rsid w:val="00F21E93"/>
    <w:rsid w:val="00F25519"/>
    <w:rsid w:val="00F4240A"/>
    <w:rsid w:val="00F51468"/>
    <w:rsid w:val="00F55CE1"/>
    <w:rsid w:val="00F76BB2"/>
    <w:rsid w:val="00F80367"/>
    <w:rsid w:val="00F96A79"/>
    <w:rsid w:val="00FA2B4B"/>
    <w:rsid w:val="00FA7802"/>
    <w:rsid w:val="00FB491F"/>
    <w:rsid w:val="00FC24F7"/>
    <w:rsid w:val="00FE0CD2"/>
    <w:rsid w:val="00FE3731"/>
    <w:rsid w:val="00FE3813"/>
    <w:rsid w:val="00FF1EE5"/>
    <w:rsid w:val="26B56992"/>
    <w:rsid w:val="457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FDA63"/>
  <w15:chartTrackingRefBased/>
  <w15:docId w15:val="{D968E524-552D-4907-8210-AC982D83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E0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0CD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FA2B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2B4B"/>
  </w:style>
  <w:style w:type="character" w:customStyle="1" w:styleId="CommentTextChar">
    <w:name w:val="Comment Text Char"/>
    <w:basedOn w:val="DefaultParagraphFont"/>
    <w:link w:val="CommentText"/>
    <w:rsid w:val="00FA2B4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A2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2B4B"/>
    <w:rPr>
      <w:b/>
      <w:bCs/>
      <w:lang w:eastAsia="en-US"/>
    </w:rPr>
  </w:style>
  <w:style w:type="paragraph" w:styleId="Revision">
    <w:name w:val="Revision"/>
    <w:hidden/>
    <w:uiPriority w:val="99"/>
    <w:semiHidden/>
    <w:rsid w:val="004A027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9e543c-277b-4c5a-84c7-5bc58ec3ad10}" enabled="1" method="Privileged" siteId="{377e3d22-4ea1-422d-b0ad-8fcc89406b9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1037</Words>
  <Characters>5913</Characters>
  <Application>Microsoft Office Word</Application>
  <DocSecurity>0</DocSecurity>
  <Lines>49</Lines>
  <Paragraphs>13</Paragraphs>
  <ScaleCrop>false</ScaleCrop>
  <Company>University of Bath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Flindall</dc:creator>
  <cp:keywords/>
  <cp:lastModifiedBy>Claire Coombes</cp:lastModifiedBy>
  <cp:revision>2</cp:revision>
  <cp:lastPrinted>2010-01-27T10:55:00Z</cp:lastPrinted>
  <dcterms:created xsi:type="dcterms:W3CDTF">2026-06-17T15:40:00Z</dcterms:created>
  <dcterms:modified xsi:type="dcterms:W3CDTF">2026-06-17T15:40:00Z</dcterms:modified>
</cp:coreProperties>
</file>